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BABUS GÁBOR</w:t>
            </w:r>
          </w:p>
          <w:p w:rsidR="00C275A3" w:rsidRDefault="00A96AEC" w:rsidP="00C275A3">
            <w:pPr>
              <w:pStyle w:val="Hallgatokepzes"/>
            </w:pPr>
            <w:r>
              <w:t>jogász, nappali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Fuglinszky Ádám</w:t>
            </w:r>
          </w:p>
          <w:p w:rsidR="00DB4822" w:rsidRDefault="00DB4822" w:rsidP="00E11062">
            <w:pPr>
              <w:pStyle w:val="Konzulensek"/>
            </w:pPr>
            <w:r w:rsidRPr="00DB4822">
              <w:t>egy.adjunktus,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banki egyoldalú szerződésmódosíási jog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banki egyoldalú szerződésmódosítási jog vitatottságához napjainkban nem férhet kétség. A Magyar Bankszövetség erre a jogra a bankrendszer fennmaradásának zálogaként tekint. A közvélemény ezzel szemben jogilag és erkölcsileg is elfogadhatatlannak tartja, hogy a bankokat – a jogviszonyban erősebb felet – olyan egyoldalú alakító jog illesse meg, amellyel a másik fél helyzetét terhesebbé teheti, kockázatát a gyengébb félre hárítsa.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problémakörnek újszerű szemléletű, objektív és a fennálló véleményklímától független bemutatására teszek kísérletet. Az általános gyakorlattól eltérően a közgazdasági törvényszerűségek figyelembe vételével vizsgálom az egyoldalú szerződésmódosítási jogot. Az így kapott következtetések tükrében elemzem a hazai szabályozást – annak időbeli változásait –, különös tekintettel arra, hogy a jogszabályok milyen mértékű lehetőséget biztosítottak a bankoknak az egyoldalú szerződésmódosításra, illetve hogy mikor, milyen mértékű védelmet garantálnak az adós számára.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alapján rávilágítok arra az elhallgatott tényre, hogy a hatályos előírások felemás képet mutatnak. Míg a fogyasztókra irányadó rendelkezések – az ok-listának, az árazási elveknek, a tájékoztatási kötelezettségnek és az egyoldalúan módosítható szerződéses feltételek korlátozottságának köszönhetően – együttesen kizárják a pénzügyi intézmények önkényességet, addig a vállalkozásokkal szemben továbbra is fennáll a pénzügyi intézmények visszaélési lehetősége.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Bármennyire is hatásosak és hasznosak a fogyasztókat védő hatályos szabályok, továbbra sem képesek véleményem szerint arra, hogy az egyoldalú módosításra vezető okok kellő átláthatóságát biztosítsák. Az adósok ezért továbbra is úgy gondolják, hogy a kamatok a bankok kénye-kedve szerint alakulnak, oly módon, hogy ők minél rosszabbul járjanak.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Erre a problémára úgy gondolom van megoldás. Az egyoldalú szerződésmódosítási jog előnye, a változó kamatozás úgy is biztosítható, hogy az adósok szerződéses kamatai együtt változzanak a piaci kamatlábakkal, és ezt nyilvános forrásokon keresztül követni is tudják. Ezáltal elfogadhatóvá válna, hogy kölcsönszerződésük szerződéses kamatai gazdasági folyamatok következtében alakulnak.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Megoldási javaslataim közül, ezért a referencia-kamatláb – különösen a BUBOR – alkalmazását emelem ki, amely hatékonyan szolgálhatná a változó kamatozású hitelezés gazdasági céljait. Emellett ebben látom a hitelező és az adós érdekei közötti aurea mediocritas megtalálásának legnagyobb esélyét.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70751">
    <w:multiLevelType w:val="hybridMultilevel"/>
    <w:lvl w:ilvl="0" w:tplc="7372769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70751">
    <w:abstractNumId w:val="11370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18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