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BABUS</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Fuglinszky</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banks' unilateral modification of the contract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banks’ unilateral modification of the contract is one of the most contentious issue of the Hungarian law at present days. On one hand the Hungarian Banking Association regards this right as the perpetuator of the market economy. On the other hand the public opinion legally and morally can’t accept that the banks – the stronger party – has a one-sided forming right what allows them to pass their risk to the other parties and to make the clients duties even more burdensome.</w:t>
      </w:r>
    </w:p>
    <w:p>
      <w:pPr>
        <w:pBdr/>
        <w:spacing w:before="240" w:after="240" w:line="240" w:lineRule="auto"/>
        <w:ind w:left="0" w:right="0"/>
        <w:jc w:val="left"/>
      </w:pPr>
      <w:r>
        <w:rPr>
          <w:color w:val="000000"/>
          <w:sz w:val="24"/>
          <w:szCs w:val="24"/>
        </w:rPr>
        <w:t xml:space="preserve">The essay goes from a novel approach and tries to present the problem objectively and independently from the existing opinion climate. Unlike the general practice the essay takes into account the economical background of the banks’ unilateral modification of the contract. Thus the domestic legislation is analyzed in the light of the resulting conclusions especially with regard to the broadness of the banks’ unilateral modification and the level of the legal protection guaranteed to the debtor.</w:t>
      </w:r>
    </w:p>
    <w:p>
      <w:pPr>
        <w:pBdr/>
        <w:spacing w:before="240" w:after="240" w:line="240" w:lineRule="auto"/>
        <w:ind w:left="0" w:right="0"/>
        <w:jc w:val="left"/>
      </w:pPr>
      <w:r>
        <w:rPr>
          <w:color w:val="000000"/>
          <w:sz w:val="24"/>
          <w:szCs w:val="24"/>
        </w:rPr>
        <w:t xml:space="preserve">Therefore the essay points out that the present rules have an ambiguous picture. However the legislation precludes the misuse of the unilateral modification in the case of the consumers, meanwhile the law doesn’t provide enough broad guarantees for the companies, although most of them are in the same vulnerable situation as the consumers.</w:t>
      </w:r>
    </w:p>
    <w:p>
      <w:pPr>
        <w:pBdr/>
        <w:spacing w:before="240" w:after="240" w:line="240" w:lineRule="auto"/>
        <w:ind w:left="0" w:right="0"/>
        <w:jc w:val="left"/>
      </w:pPr>
      <w:r>
        <w:rPr>
          <w:color w:val="000000"/>
          <w:sz w:val="24"/>
          <w:szCs w:val="24"/>
        </w:rPr>
        <w:t xml:space="preserve">Nonetheless the consumers’ protection rules are effective, I think they are still not sufficient in order to ensure to the debtors the necessary transparency of the reasons what leads the banks to the unilateral modification. The debtors therefore continue believing that the interest of their credit only follows the mood of the banks in such a way that makes their situation even more burdensome.</w:t>
      </w:r>
    </w:p>
    <w:p>
      <w:pPr>
        <w:pBdr/>
        <w:spacing w:before="240" w:after="240" w:line="240" w:lineRule="auto"/>
        <w:ind w:left="0" w:right="0"/>
        <w:jc w:val="left"/>
      </w:pPr>
      <w:r>
        <w:rPr>
          <w:color w:val="000000"/>
          <w:sz w:val="24"/>
          <w:szCs w:val="24"/>
        </w:rPr>
        <w:t xml:space="preserve">Although this problem has a solution. The biggest advantage of the unilateral modification is that it enables the floating rate what grants the possibility to the banks to adjust the contractual rate to the actual market rate. This advantage is also achievable with a reference rate which means an interest rate what follows a published reference. In that way the debtors could accept that their contractual rate is altered by economic processes.</w:t>
      </w:r>
    </w:p>
    <w:p>
      <w:pPr>
        <w:pBdr/>
        <w:spacing w:before="240" w:after="240" w:line="240" w:lineRule="auto"/>
        <w:ind w:left="0" w:right="0"/>
        <w:jc w:val="left"/>
      </w:pPr>
      <w:r>
        <w:rPr>
          <w:color w:val="000000"/>
          <w:sz w:val="24"/>
          <w:szCs w:val="24"/>
        </w:rPr>
        <w:t xml:space="preserve">For this reason among my proposal I emphasize the necessity of the use of the reference rate, which could effectively serve the aims. In addition I find this solution as the best chance to achieve the ‘aurea mediocritas’ between the interest of the parties.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88286">
    <w:multiLevelType w:val="hybridMultilevel"/>
    <w:lvl w:ilvl="0" w:tplc="60882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88286">
    <w:abstractNumId w:val="93988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66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