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TOMBOR</w:t>
            </w:r>
          </w:p>
          <w:p w:rsidR="00C275A3" w:rsidRDefault="00A96AEC" w:rsidP="00C275A3">
            <w:pPr>
              <w:pStyle w:val="Hallgatokepzes"/>
            </w:pPr>
            <w:r>
              <w:t>Eötvös Loránd University Faculty of 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Kecső</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Process of and the Braking the Indebtedness of Local Governments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Scientific academic paper is the indebtedness of the Hungarian local governmental system, which is the deadliest symptom of local authorities’ financial struggles. This paper intends to analyze the process of indebtedness of local governments from the beginning of the transition onwards, and those legal provisions that served or serves the braking of indebtedness. What especially presents the actuality of this subject is the model change implemented concerning the restriction on local governments’ borrowing in 2012 January 1. Since that time administrative method has been applied instead of rules-based approach.</w:t>
      </w:r>
    </w:p>
    <w:p>
      <w:pPr>
        <w:pBdr/>
        <w:spacing w:before="240" w:after="240" w:line="240" w:lineRule="auto"/>
        <w:ind w:left="0" w:right="0"/>
        <w:jc w:val="left"/>
      </w:pPr>
      <w:r>
        <w:rPr>
          <w:color w:val="000000"/>
          <w:sz w:val="24"/>
          <w:szCs w:val="24"/>
        </w:rPr>
        <w:t xml:space="preserve">My study is divided into six chapters.</w:t>
      </w:r>
    </w:p>
    <w:p>
      <w:pPr>
        <w:pBdr/>
        <w:spacing w:before="240" w:after="240" w:line="240" w:lineRule="auto"/>
        <w:ind w:left="0" w:right="0"/>
        <w:jc w:val="left"/>
      </w:pPr>
      <w:r>
        <w:rPr>
          <w:color w:val="000000"/>
          <w:sz w:val="24"/>
          <w:szCs w:val="24"/>
        </w:rPr>
        <w:t xml:space="preserve">In Chapter 1, I set out the objective of my study as an introduction, and reveal the personal aspects of choosing this subject.</w:t>
      </w:r>
    </w:p>
    <w:p>
      <w:pPr>
        <w:pBdr/>
        <w:spacing w:before="240" w:after="240" w:line="240" w:lineRule="auto"/>
        <w:ind w:left="0" w:right="0"/>
        <w:jc w:val="left"/>
      </w:pPr>
      <w:r>
        <w:rPr>
          <w:color w:val="000000"/>
          <w:sz w:val="24"/>
          <w:szCs w:val="24"/>
        </w:rPr>
        <w:t xml:space="preserve">In Chapter 2, I present the types of models of local governments, as well as the approaches to restrict local governments’ borrowing. Furthermore, I describe the Hungarian model.</w:t>
      </w:r>
    </w:p>
    <w:p>
      <w:pPr>
        <w:pBdr/>
        <w:spacing w:before="240" w:after="240" w:line="240" w:lineRule="auto"/>
        <w:ind w:left="0" w:right="0"/>
        <w:jc w:val="left"/>
      </w:pPr>
      <w:r>
        <w:rPr>
          <w:color w:val="000000"/>
          <w:sz w:val="24"/>
          <w:szCs w:val="24"/>
        </w:rPr>
        <w:t xml:space="preserve">In Chapter 3, I put an emphasis on the process of indebtedness of the domestic local governments in relation to the economic-political era changes. In relation to the debt accumulated by the local governments, I deal with the components and development of the debt, and I present a case study in order to underpin the general processes.</w:t>
      </w:r>
    </w:p>
    <w:p>
      <w:pPr>
        <w:pBdr/>
        <w:spacing w:before="240" w:after="240" w:line="240" w:lineRule="auto"/>
        <w:ind w:left="0" w:right="0"/>
        <w:jc w:val="left"/>
      </w:pPr>
      <w:r>
        <w:rPr>
          <w:color w:val="000000"/>
          <w:sz w:val="24"/>
          <w:szCs w:val="24"/>
        </w:rPr>
        <w:t xml:space="preserve">In Chapter 4, I cover the implementation of the upper limit of municipal debt (Sec 88) and its amendments of Act LXV of 1990 On Local Governments in force until January 1 2012. I outline the reasons of introduction of such a limit and the practical experiences showing its inefficiencies.</w:t>
      </w:r>
    </w:p>
    <w:p>
      <w:pPr>
        <w:pBdr/>
        <w:spacing w:before="240" w:after="240" w:line="240" w:lineRule="auto"/>
        <w:ind w:left="0" w:right="0"/>
        <w:jc w:val="left"/>
      </w:pPr>
      <w:r>
        <w:rPr>
          <w:color w:val="000000"/>
          <w:sz w:val="24"/>
          <w:szCs w:val="24"/>
        </w:rPr>
        <w:t xml:space="preserve">In Chapter 5, I deal with the provisions currently in force concerning cutting indebtedness, which are on one side, can be found in the Basic Law of Hungary, and on the other side, in the Act CXCIV of 2011 On Economic Stability of Hungary (Sec 10). In this Chapter, I analyze the introduction and the development of the new regulation.</w:t>
      </w:r>
    </w:p>
    <w:p>
      <w:pPr>
        <w:pBdr/>
        <w:spacing w:before="240" w:after="240" w:line="240" w:lineRule="auto"/>
        <w:ind w:left="0" w:right="0"/>
        <w:jc w:val="left"/>
      </w:pPr>
      <w:r>
        <w:rPr>
          <w:color w:val="000000"/>
          <w:sz w:val="24"/>
          <w:szCs w:val="24"/>
        </w:rPr>
        <w:t xml:space="preserve">In Chapter 6, I outline my final thoughts. I draw the conclusions in relation to the topic of my paper. From my point of view, the new limit guarantees greater correspondence to the braking of debt than the former regulation used to guarantee. I also draw attention to the fact, that local authorities ought to engage in economic management that is responsible future wise.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72690">
    <w:multiLevelType w:val="hybridMultilevel"/>
    <w:lvl w:ilvl="0" w:tplc="63221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72690">
    <w:abstractNumId w:val="12372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285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