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TÍMEA MIREISZ</w:t>
            </w:r>
          </w:p>
          <w:p w:rsidR="00C275A3" w:rsidRDefault="00A96AEC" w:rsidP="00C275A3">
            <w:pPr>
              <w:pStyle w:val="Hallgatokepzes"/>
            </w:pPr>
            <w:r>
              <w:t>faculty of law</w:t>
            </w:r>
            <w:r>
              <w:br/>
            </w:r>
            <w:r w:rsidR="00E77B23">
              <w:t>Unified, 7. semester</w:t>
            </w:r>
          </w:p>
          <w:p w:rsidR="00C265CE" w:rsidRPr="009E5FF1" w:rsidRDefault="00E77B23" w:rsidP="00C275A3">
            <w:pPr>
              <w:pStyle w:val="Hallgatokepzes"/>
              <w:rPr>
                <w:b/>
                <w:caps/>
              </w:rPr>
            </w:pPr>
            <w:r>
              <w:t>Eötvös Loránd University</w:t>
            </w:r>
            <w:r w:rsidR="00C275A3">
              <w:br/>
            </w:r>
            <w:r w:rsidR="00DB4822">
              <w:t>Faculty of Law and Political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Attila Horváth</w:t>
            </w:r>
          </w:p>
          <w:p w:rsidR="00DB4822" w:rsidRDefault="00DB4822" w:rsidP="00E11062">
            <w:pPr>
              <w:pStyle w:val="Konzulensek"/>
            </w:pPr>
            <w:r w:rsidRPr="00DB4822">
              <w:t>associate professor, ELTE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development of non- pecuniary damages in Hungarian history of law</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research of the Hungarian history of law, it’s hard to find such an instrument had so hard lines, like non-material damages. The whole development and existence of the non-pecuniary damages was surrounded with theoretical uncertainty, that made the position of the legislators and judges more difficult to make law and to fill it with content.Athough the modern compensation for damages began to develop in the first half of the 19th century, and the idea to protect the personality with legal instruments appeared in the second half of the century, but we can find instruments and cases before this time, which had the similar aim as non-pecuniary damages. These instruments and cases were connected with penal law, not as the part of the civil law, however they are indicative of the only constant point was in spite of the views, that periodically changed and were very contrary: the values of personality must be protected.So the purpose of this essay is primarily not to point to the defects, wich are the results of the unregulated legal institutions. The essay try to present how the Hungarian judges found the connection with the non-pecuniary damages in the last century, and how they made the way for compensation for a personal injury, and for pain and suffering. The courts had to solve a really difficult problem, that raised from the unregulation and uncontrollable legal institution of non-pecuniary damages. The significance of the judicial practice was also clear: the legislator, who worked out only the instruments’ bases, gave the opportunity to „create” the rules of non-pecuniary damages for the cases in the different historical eras.Despite of the regulatory gaps and the contradictory, incorrect parts of the judical practice, there are tipical marks in non-pecuniary damages, wich had developed from the judical practice. Furthermore, we can see clearly from the sentences, that they included even then those marks and basic attributes, which identify the whole non-pecuniary damages also in our time. In conclusion we should direct the attention to the similarity between the types of cases in the 19th century and the cases emerge nowadays.It is also interesting, how the problems of the non-pecuniary damages system appeared in the sentences of the 19th century, and how these problems went with the whole non material damages still today.</w:t>
      </w:r>
    </w:p>
    <w:p>
      <w:pPr>
        <w:widowControl w:val="on"/>
        <w:pBdr/>
        <w:spacing w:before="240" w:after="240" w:line="240" w:lineRule="auto"/>
        <w:ind w:left="0" w:right="0"/>
        <w:jc w:val="left"/>
      </w:pPr>
    </w:p>
    <w:p>
      <w:pPr>
        <w:widowControl w:val="on"/>
        <w:pBdr/>
        <w:spacing w:before="240" w:after="240" w:line="240" w:lineRule="auto"/>
        <w:ind w:left="0" w:right="0"/>
        <w:jc w:val="left"/>
      </w:pP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2649116">
    <w:multiLevelType w:val="hybridMultilevel"/>
    <w:lvl w:ilvl="0" w:tplc="2844564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2649116">
    <w:abstractNumId w:val="9264911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4655044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