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PALGUTA VIRÁG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Gosztonyi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Balogh Jenő tevékenysége a büntető anyagi és a büntetés-végrehajtási jog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büntetőjogi és kriminológiai tudományok a XIX. és XX. század fordulóján az európai színvonallal együtt haladtak, és ennek megfelelően hosszas előkészítő munka után egy jól átgondolt, a gyakorlatban is kivitelezhető jogszabály született: az 1908. évi 36. tc., az első büntetőnovella. A törvény, és az ehhez kapcsolódó végrehajtási jogszabályok Balogh Jenő jogtudós munkájához szorosan kapcsolódnak, ezért dolgozatom célja egyfelől a jogalkotási folyamat bemutatása, másrészt ezen keresztül a professzor tanulmányaiba bepillantást engedni.</w:t>
      </w:r>
      <w:r>
        <w:rPr>
          <w:color w:val="000000"/>
          <w:sz w:val="24"/>
          <w:szCs w:val="24"/>
        </w:rPr>
        <w:br/>
        <w:t xml:space="preserve">Dolgozatomban ismertetem a magyarországi reformtörekvések megjelenésében szerepet játszó folyamatokat, mintákat és körülményeket. Bemutatom, hogyan fejlődött a kriminológia és a statisztika tudománya, milyen külföldi minták szolgáltak a reform alapjául, valamint milyen célok vezérelték a jogalkotókat (és ezen belül kiemelten Balogh Jenőt) a Csemegi-kódex reformálásakor.</w:t>
      </w:r>
      <w:r>
        <w:rPr>
          <w:color w:val="000000"/>
          <w:sz w:val="24"/>
          <w:szCs w:val="24"/>
        </w:rPr>
        <w:br/>
        <w:t xml:space="preserve">Ezután ismertetem a büntető törvénykönyv fiatalkorúakra vonatkozó büntetési rendszerét, a kódex megalkotását követő, fiatalkorúakra vonatkozó büntetés-végrehajtási jogot. Végül pedig bemutatom a büntetőnovella megalkotásának folyamatát, a novella rendelkezéseit, majd szemléltetem a novellát követő, fiatalkorúakkal kapcsolatos végrehajtási jogot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18470">
    <w:multiLevelType w:val="hybridMultilevel"/>
    <w:lvl w:ilvl="0" w:tplc="54823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18470">
    <w:abstractNumId w:val="687184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743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