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KÉRI JUDIT</w:t>
            </w:r>
          </w:p>
          <w:p w:rsidR="00C275A3" w:rsidRDefault="00A96AEC" w:rsidP="00C275A3">
            <w:pPr>
              <w:pStyle w:val="Hallgatokepzes"/>
            </w:pPr>
            <w:r>
              <w:t>munkaügyi és társadalombiztosítási igazgatási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Lajkó Dóra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magánélet szociális jogi határai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megválaszolása, hogy hogyan valósul meg a privacy a szociális jog, azon belül az egészségügyi természetbeni ellátásainak igénybevételekor.</w:t>
      </w:r>
      <w:r>
        <w:rPr>
          <w:color w:val="000000"/>
          <w:sz w:val="24"/>
          <w:szCs w:val="24"/>
        </w:rPr>
        <w:br/>
        <w:t xml:space="preserve">A szociális jogban fokozott figyelmet kellene fordítanunk a magánszféra védelmére, hiszen az adatok rendelkezésre bocsátása az ellátások igénybevételének alapfeltétele.</w:t>
      </w:r>
      <w:r>
        <w:rPr>
          <w:color w:val="000000"/>
          <w:sz w:val="24"/>
          <w:szCs w:val="24"/>
        </w:rPr>
        <w:br/>
        <w:t xml:space="preserve">Munkám kulcsfontosságú elemeit képező, a magánszféra védelme és a szociális jog között feszülő ellentét feloldását megnehezíti a téma fogalmi rendszerére jellemző átfedésekkel tarkított struktúra.</w:t>
      </w:r>
      <w:r>
        <w:rPr>
          <w:color w:val="000000"/>
          <w:sz w:val="24"/>
          <w:szCs w:val="24"/>
        </w:rPr>
        <w:br/>
        <w:t xml:space="preserve">Kérdéses, hogy milyen mértékben léphet be az állam az egyén magánszférájába, illetve a két alapjog egyidejű gyakorlása mennyire jelenti azok korlátozását.</w:t>
      </w:r>
      <w:r>
        <w:rPr>
          <w:color w:val="000000"/>
          <w:sz w:val="24"/>
          <w:szCs w:val="24"/>
        </w:rPr>
        <w:br/>
        <w:t xml:space="preserve">A téma egyre nagyobb aktualitással bír, hiszen a technika fejlődésével, az adattárolási rendszerek elterjedésével (így például az európai szintű EESSI rendszer) és általánossá válásával könnyen ellenőrizhetővé válunk. A szociális jog életünket végigkíséri, ezért van szükség az adatvédelemi szabályok általános meghatározására, és azok ellátásokhoz kapcsolódó előírásainak megtartására.</w:t>
      </w:r>
      <w:r>
        <w:rPr>
          <w:color w:val="000000"/>
          <w:sz w:val="24"/>
          <w:szCs w:val="24"/>
        </w:rPr>
        <w:br/>
        <w:t xml:space="preserve">Kétséges az egészségügyi természetbeni ellátások igénybevétele során az egyén azonosítását szolgáló módok, az ellátásokat összesítő rendszerek biztonságos módja, illetve az egyének privacy-jének tényleges figyelembe vétele.</w:t>
      </w:r>
      <w:r>
        <w:rPr>
          <w:color w:val="000000"/>
          <w:sz w:val="24"/>
          <w:szCs w:val="24"/>
        </w:rPr>
        <w:br/>
        <w:t xml:space="preserve">A minél átfogóbb vizsgálatához interdiszciplináris módon közelítettem meg a témát. A definíciós rendszer nehezen áttekinthető, ezért a privacy fogalmának körüljárását széles körű szakirodalmi vizsgálattal alapoztam meg, ennek eredményeként létrehozva egy általam kialakított új dogmatikai rendszert. Ennek segítségével rendhagyó módon kapcsoltam össze a szociális jogot a privacy-vel és megalkottam egy szociális jogi privacy fogalmat. Feltártam az adatvédelem és a privacy sokszor nem egyértelmű kapcsolatát az értelmezésbeli zavarok elhárítására érdekében.</w:t>
      </w:r>
      <w:r>
        <w:rPr>
          <w:color w:val="000000"/>
          <w:sz w:val="24"/>
          <w:szCs w:val="24"/>
        </w:rPr>
        <w:br/>
        <w:t xml:space="preserve">Az egészségügyi természetbeni ellátásokhoz kötődő adatszolgáltatás kapcsán felmerülő jogalkotási problémákra igyekeztem rávilágítani, önálló gondolataim beépítésével. Emellett összegeztem és összehasonlítottam a szociális jog adatvédelmi rendelkezéseit, azzal a tudatos erőfeszítéssel, hogy a jelenlegi rendszer átláthatóbbá válik, valamint az emberek figyelmét adataik védelme felé fordíthatom, ezzel védve magánszférájuk szociális jog által feszegetett határát.</w:t>
      </w:r>
      <w:r>
        <w:rPr>
          <w:color w:val="000000"/>
          <w:sz w:val="24"/>
          <w:szCs w:val="24"/>
        </w:rPr>
        <w:br/>
        <w:t xml:space="preserve">A jövőben arra kellene törekednünk, hogy a magánszféra zárt tudjon maradni, illetve az elektronikus adatbázisokban kezelt adatok biztonságának megerősítésére lenne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87255">
    <w:multiLevelType w:val="hybridMultilevel"/>
    <w:lvl w:ilvl="0" w:tplc="27109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87255">
    <w:abstractNumId w:val="978872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694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