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MEGYESI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Erika Farkas Csamangó</w:t>
            </w:r>
          </w:p>
          <w:p w:rsidR="00DB4822" w:rsidRDefault="00DB4822" w:rsidP="00E11062">
            <w:pPr>
              <w:pStyle w:val="Konzulensek"/>
            </w:pPr>
            <w:r w:rsidRPr="00DB4822">
              <w:t>professor’s assistant, SZTE ÁJK</w:t>
            </w:r>
          </w:p>
        </w:tc>
      </w:tr>
      <w:tr w:rsidR="00DB4822" w:rsidTr="00DB4822">
        <w:tc>
          <w:tcPr>
            <w:tcW w:w="9854" w:type="dxa"/>
          </w:tcPr>
          <w:p w:rsidR="00DB4822" w:rsidRPr="00DB4822" w:rsidRDefault="00DB4822" w:rsidP="004D7940">
            <w:pPr>
              <w:pStyle w:val="Konzulensek"/>
            </w:pPr>
            <w:r w:rsidRPr="00DB4822">
              <w:t>Dr. Róbert Sebestyén</w:t>
            </w:r>
          </w:p>
          <w:p w:rsidR="00DB4822" w:rsidRDefault="00DB4822" w:rsidP="00E11062">
            <w:pPr>
              <w:pStyle w:val="Konzulensek"/>
            </w:pPr>
            <w:r w:rsidRPr="00DB4822">
              <w:t>president,  National Land Fund Management Organization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rules of utilization of soil of National Land Fund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rules of utilization of soil – which belongs to the National Land Fund - is what is in the center of my dissertation. The National Land Fund Management Organization fulfills this obligation according to the 2010 th Act No. LXXXVII. by organizing sales via public applications or auctions, demise or asset management sales through public applications and by land exchange. In default of these four options it complies with the obligations by making one marketing-year contracts with clients.</w:t>
      </w:r>
    </w:p>
    <w:p>
      <w:pPr>
        <w:pBdr/>
        <w:spacing w:before="240" w:after="240" w:line="240" w:lineRule="auto"/>
        <w:ind w:left="0" w:right="0"/>
        <w:jc w:val="left"/>
      </w:pPr>
      <w:r>
        <w:rPr>
          <w:color w:val="000000"/>
          <w:sz w:val="24"/>
          <w:szCs w:val="24"/>
        </w:rPr>
        <w:t xml:space="preserve">      In 2012 the leases which were published thorugh public applications, the strict terms of entering the process, the guidlines and the assessment of the applications trigerred a huge debate among experts. After presenting the whole application system in details I will move on to exposing the criticisms of the attacked terms and the legitimate explanations that can be given.</w:t>
      </w:r>
    </w:p>
    <w:p>
      <w:pPr>
        <w:pBdr/>
        <w:spacing w:before="240" w:after="240" w:line="240" w:lineRule="auto"/>
        <w:ind w:left="0" w:right="0"/>
        <w:jc w:val="left"/>
      </w:pPr>
      <w:r>
        <w:rPr>
          <w:color w:val="000000"/>
          <w:sz w:val="24"/>
          <w:szCs w:val="24"/>
        </w:rPr>
        <w:t xml:space="preserve">      In connection with the asset management contracts I will present the positive result of the social land program and the „Start” public employment progam and you will also get an insight of the procedures which were necessary for implementation from presenting the request until the realization of the goals. I will also make some suggestions for resolving any problems that come up along the way.</w:t>
      </w:r>
    </w:p>
    <w:p>
      <w:pPr>
        <w:pBdr/>
        <w:spacing w:before="240" w:after="240" w:line="240" w:lineRule="auto"/>
        <w:ind w:left="0" w:right="0"/>
        <w:jc w:val="left"/>
      </w:pPr>
      <w:r>
        <w:rPr>
          <w:color w:val="000000"/>
          <w:sz w:val="24"/>
          <w:szCs w:val="24"/>
        </w:rPr>
        <w:t xml:space="preserve">      I will also make a suggestion to remedy the problem of the marketing-year contracts because after examining them it has been proven that they don’t guarantee appropriately a functional, stabil, profit-oriented and competitive management neither the farmers nor the state.</w:t>
      </w:r>
    </w:p>
    <w:p>
      <w:pPr>
        <w:pBdr/>
        <w:spacing w:before="240" w:after="240" w:line="240" w:lineRule="auto"/>
        <w:ind w:left="0" w:right="0"/>
        <w:jc w:val="left"/>
      </w:pPr>
      <w:r>
        <w:rPr>
          <w:color w:val="000000"/>
          <w:sz w:val="24"/>
          <w:szCs w:val="24"/>
        </w:rPr>
        <w:t xml:space="preserve">      I process a topic which is one, that affects and interest the agrarian society the most at present and through which the professional opponents can get some suggestions on how to evolve a system that both the state and private parties find suitable. As they say „the soil is a treasure that can’t be replaced” so it’s very important to have a system that ensures satisfying opprtunities to everyone.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05618">
    <w:multiLevelType w:val="hybridMultilevel"/>
    <w:lvl w:ilvl="0" w:tplc="10845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05618">
    <w:abstractNumId w:val="71405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706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