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MAJOR</w:t>
            </w:r>
          </w:p>
          <w:p w:rsidR="00C275A3" w:rsidRDefault="00A96AEC" w:rsidP="00C275A3">
            <w:pPr>
              <w:pStyle w:val="Hallgatokepzes"/>
            </w:pPr>
            <w:r>
              <w:t>International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Norbert Merkovity</w:t>
            </w:r>
          </w:p>
          <w:p w:rsidR="00DB4822" w:rsidRDefault="00DB4822" w:rsidP="00E11062">
            <w:pPr>
              <w:pStyle w:val="Konzulensek"/>
            </w:pPr>
            <w:r w:rsidRPr="00DB4822">
              <w:t>deputy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 Atlantic Differences in the Politicians Email Using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From the twentieth century politicians are expected to be available on the internet. The people – the electorate in political context – usually aspire to dialogue via social media, too.</w:t>
      </w:r>
      <w:r>
        <w:rPr>
          <w:color w:val="000000"/>
          <w:sz w:val="24"/>
          <w:szCs w:val="24"/>
        </w:rPr>
        <w:br/>
        <w:t xml:space="preserve">In an international research team we have been scanning representatives of different states (Australia, Canada, Croatia, Estonia, Hungary, Ireland, Latvia, Lithuania, Montenegro, New Zealand and the United Kindom) and measuring responses via email. Every MP’s has its own official email address, we wrote there as researchers. Our questions were: What steps should be taken to reduce the number of smokers in your constituency? Is this a critical issue in your policy-making? The MP’s letters were being received two weeks.</w:t>
      </w:r>
      <w:r>
        <w:rPr>
          <w:color w:val="000000"/>
          <w:sz w:val="24"/>
          <w:szCs w:val="24"/>
        </w:rPr>
        <w:br/>
        <w:t xml:space="preserve">In my monograph I start from the assumption, that in western, old democracies MP’s send more reply than their Central and Eastern Europe partners. I’m researching for the answer is there a difference in the usage of email between the politicians of different regions and states. Do the mean age and political culture influence the results?</w:t>
      </w:r>
      <w:r>
        <w:rPr>
          <w:color w:val="000000"/>
          <w:sz w:val="24"/>
          <w:szCs w:val="24"/>
        </w:rPr>
        <w:br/>
        <w:t xml:space="preserve">The parliaments of North Atlantic countries have low responses rate (Ireland 6.02%, Canada 2.93, and United Kindom 2.62%). In these states there were the most late emails, too. Another connection between these countries is that MP’s promised that they answer our questions another time, and occurred the politicians asked our mailing address. The region of Central and Eastern Europe was very colourful: the Baltic States sent the most responses (Estonia 10%, Latvia 8.08% and Lithuania 5.76%). Hungary (5.18%) was the end of the line. In this area we didn’t meet promises and the number of late emails was insignificant. From the Balkan Croatia reached 2.67% and Montenegro performed 1.25%. For the geographical location I classified Australia and New Zealand another group. This area was characterised by the same phenomena, which was observed in the North Atlantic region. There were lots of late emails. From Australia came 3.54% response and 10.17% promise, and from New Zealand we got 10.43% answer and promise,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46441">
    <w:multiLevelType w:val="hybridMultilevel"/>
    <w:lvl w:ilvl="0" w:tplc="40617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46441">
    <w:abstractNumId w:val="120464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199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