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GARAMVOLGYI</w:t>
            </w:r>
          </w:p>
          <w:p w:rsidR="00C275A3" w:rsidRDefault="00A96AEC" w:rsidP="00C275A3">
            <w:pPr>
              <w:pStyle w:val="Hallgatokepzes"/>
            </w:pPr>
            <w:r>
              <w:t>International Relations MA</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Loffler</w:t>
            </w:r>
          </w:p>
          <w:p w:rsidR="00DB4822" w:rsidRDefault="00DB4822" w:rsidP="00E11062">
            <w:pPr>
              <w:pStyle w:val="Konzulensek"/>
            </w:pPr>
            <w:r w:rsidRPr="00DB4822">
              <w:t>associate professor ,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support for radical right-wing parties in Central and Eastern Europe in relation to ethnic and national minorities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After the collapse of the communist regimes new, anti-minority radical right-wing parties emerged across the Central and Eastern European region. In some countries these nationalist formations became decisive political powers, while in others they remained in marginal position. The support for these parties not just varies among the states, but significant differences could also be discovered between the lower-level administrative units. In the literature of the research on radicalism no consensus exists regarding the main reasons of the uneven public support for the radical right-wing parties in Central and Eastern Europe.</w:t>
      </w:r>
    </w:p>
    <w:p>
      <w:pPr>
        <w:pBdr/>
        <w:spacing w:before="240" w:after="240" w:line="240" w:lineRule="auto"/>
        <w:ind w:left="0" w:right="0"/>
        <w:jc w:val="left"/>
      </w:pPr>
      <w:r>
        <w:rPr>
          <w:color w:val="000000"/>
          <w:sz w:val="24"/>
          <w:szCs w:val="24"/>
        </w:rPr>
        <w:t xml:space="preserve">The present research based on statistical data, examines the public support for five radical right-wing parties (ATAKA, Jobbik, L’S NS, PRM, SNS) from four Central and Eastern European countries with considerable Roma population (Bulgaria, Hungary, Romania, Slovakia). According to the main hypothesis, a correlation exists between the regional percentage of the Roma and specific national minorities and the electoral successes of the radical right-wing parties agitating with anti-minority rhetoric. Besides the independent variables (the regional percentage of ethnic and national minorities) other intermediate variables, like the regional economic development measured through the value of the regional GDP and the average of unemployment rates, are included as these factors could also affect the public support for the above mentioned nationalist formations. The study uses statistical data from the period of 2000-2012.</w:t>
      </w:r>
    </w:p>
    <w:p>
      <w:pPr>
        <w:pBdr/>
        <w:spacing w:before="240" w:after="240" w:line="240" w:lineRule="auto"/>
        <w:ind w:left="0" w:right="0"/>
        <w:jc w:val="left"/>
      </w:pPr>
      <w:r>
        <w:rPr>
          <w:color w:val="000000"/>
          <w:sz w:val="24"/>
          <w:szCs w:val="24"/>
        </w:rPr>
        <w:t xml:space="preserve">According to the results of the research an unambiguous correlation exist between the regional percentage of national minorities and the electoral results of the radical right. However, in the case of the examined ethnic minority we cannot talk about this type of correlation. Based on the verification of the prior expectations three groups were created. In the case of the first group (containing Jobbik and L’S NS) the rising regional percentage of the Roma and the decreasing level of economic development correlated with the electoral success of these parties, while in the case of the second group (PRM, SNS) the opposite correlation was discovered. In case of the Ataka party, which forms alone the third group, the correlation exists between the public support and the values of the regional ethnic homogeneity.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83888">
    <w:multiLevelType w:val="hybridMultilevel"/>
    <w:lvl w:ilvl="0" w:tplc="28235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83888">
    <w:abstractNumId w:val="17983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65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