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BÓTA</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Tekla Papp</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HSHC Ltd., or the state superholding's analysis from the perspective of corporate law</w:t>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thesis is an analysis of the Hungarian State Holding Company Ltd. (from here on referred to as HSHC Ltd.) from a legal perspective. My subject is actual and relevant, as an analysis of the current organization has not yet been done from the aspect of its governing norms compared with its general corporate legislations.</w:t>
      </w:r>
    </w:p>
    <w:p>
      <w:pPr>
        <w:pBdr/>
        <w:spacing w:before="240" w:after="240" w:line="240" w:lineRule="auto"/>
        <w:ind w:left="0" w:right="0"/>
        <w:jc w:val="left"/>
      </w:pPr>
      <w:r>
        <w:rPr>
          <w:color w:val="000000"/>
          <w:sz w:val="24"/>
          <w:szCs w:val="24"/>
        </w:rPr>
        <w:t xml:space="preserve">The trustee’s unique legal status and activity evokes a specific measure, the Vagyontörvény, which formulates the subject’s first level of legal sources. However, as the company works as a shareholder’s group, the general corporate legislations also apply. This split raises questions: the starting point of my argument is that the Vagyontörvény differs from Gt. and Ctv. from many aspects, but what causes these differences? How does the organizational structure of HSHC Ltd. diverge from an organization solely based on Gt.?</w:t>
      </w:r>
    </w:p>
    <w:p>
      <w:pPr>
        <w:pBdr/>
        <w:spacing w:before="240" w:after="240" w:line="240" w:lineRule="auto"/>
        <w:ind w:left="0" w:right="0"/>
        <w:jc w:val="left"/>
      </w:pPr>
      <w:r>
        <w:rPr>
          <w:color w:val="000000"/>
          <w:sz w:val="24"/>
          <w:szCs w:val="24"/>
        </w:rPr>
        <w:t xml:space="preserve">The aim of my thesis is to display the greatest flagship of state ownership from the perspective of corporate law.</w:t>
      </w:r>
    </w:p>
    <w:p>
      <w:pPr>
        <w:pBdr/>
        <w:spacing w:before="240" w:after="240" w:line="240" w:lineRule="auto"/>
        <w:ind w:left="0" w:right="0"/>
        <w:jc w:val="left"/>
      </w:pPr>
      <w:r>
        <w:rPr>
          <w:color w:val="000000"/>
          <w:sz w:val="24"/>
          <w:szCs w:val="24"/>
        </w:rPr>
        <w:t xml:space="preserve">In the first part of my paper, I will discuss the legal material concerning state ownership. Evidently, there is no definition of public ownership in current law, and no standardized terminology. I will proceed by presenting the initial organization of HSHC Ltd., and analysing its characteristics from the aspect of corporate law. The highlight of my argument is the investigation of the current system of organizations, during which I will apply standard methods of interpretation (linguistic, logical, taxonomic, and teleologic) on the dispositions of Vagyontörvény, contrasted with general corporate laws. I will also attempt to enunciate and explain specialities and differences.</w:t>
      </w:r>
    </w:p>
    <w:p>
      <w:pPr>
        <w:pBdr/>
        <w:spacing w:before="240" w:after="240" w:line="240" w:lineRule="auto"/>
        <w:ind w:left="0" w:right="0"/>
        <w:jc w:val="left"/>
      </w:pPr>
      <w:r>
        <w:rPr>
          <w:color w:val="000000"/>
          <w:sz w:val="24"/>
          <w:szCs w:val="24"/>
        </w:rPr>
        <w:t xml:space="preserve">The conclusion of my thesis is that the organizational structure or HSHC Ltd. generally complies with the criteria established by Gt., although there are several diversions. These differences are largely result of the group’s specific legal status and activity. However, part of them are merely insignificant differences, and review is suggested.</w:t>
      </w:r>
    </w:p>
    <w:p>
      <w:pPr>
        <w:pBdr/>
        <w:spacing w:before="240" w:after="240" w:line="240" w:lineRule="auto"/>
        <w:ind w:left="0" w:right="0"/>
        <w:jc w:val="left"/>
      </w:pPr>
      <w:r>
        <w:rPr>
          <w:color w:val="000000"/>
          <w:sz w:val="24"/>
          <w:szCs w:val="24"/>
        </w:rPr>
        <w:t xml:space="preserve">As a summary, I present three concepts for future state ownership. The legislator decides what principles the system is built upon, and this is also what decides the fate of HSHC Ltd. This is why I do not offer solutions for the issues of the group itself, but scrutinize and elaborate the complex possibilities of state ownership.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28392">
    <w:multiLevelType w:val="hybridMultilevel"/>
    <w:lvl w:ilvl="0" w:tplc="67405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28392">
    <w:abstractNumId w:val="83928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313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