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RENÁTA KÁLMÁN</w:t>
            </w:r>
          </w:p>
          <w:p w:rsidR="00C275A3" w:rsidRDefault="00A96AEC" w:rsidP="00C275A3">
            <w:pPr>
              <w:pStyle w:val="Hallgatokepzes"/>
            </w:pPr>
            <w:r>
              <w:t>legal training</w:t>
            </w:r>
            <w:r>
              <w:br/>
            </w:r>
            <w:r w:rsidR="00E77B23">
              <w:t>Unified, 5.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Andrea Hegedűs Dr.</w:t>
            </w:r>
          </w:p>
          <w:p w:rsidR="00DB4822" w:rsidRDefault="00DB4822" w:rsidP="00E11062">
            <w:pPr>
              <w:pStyle w:val="Konzulensek"/>
            </w:pPr>
            <w:r w:rsidRPr="00DB4822">
              <w:t>assistant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Adoption, with particular focus on international adoption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Writing my paper was inspired by many personal experience, from among which I would only like to emphasize the two most important ones. One relates to the workplace of my grandmother, the Child Protection Institute and Child Care Center of Jász-Nagykun-Szolnok county, where I spent a significant part of my childhood and faced the importance of adoption, already at a young age. The second motivation is relevant to the family of a close friend, who have just recently adopted a teenage girl.</w:t>
      </w:r>
      <w:r>
        <w:rPr>
          <w:color w:val="000000"/>
          <w:sz w:val="24"/>
          <w:szCs w:val="24"/>
        </w:rPr>
        <w:br/>
        <w:t xml:space="preserve">In possession of these memories and the legal knowledge later on acquired I decided to more thoroughly examine the institution of adoption in Hungary and abroad. Given that this legal institution is most comprehensible in practice, I visited the Child Protection Institute and Child Care Center of Jász-Nagykun-Szolnok county in order to have insight into the workings of the “machine” and in order to get to know the opinions and experience of the professionals working there, which I also use - with their permission - in my paper.</w:t>
      </w:r>
      <w:r>
        <w:rPr>
          <w:color w:val="000000"/>
          <w:sz w:val="24"/>
          <w:szCs w:val="24"/>
        </w:rPr>
        <w:br/>
        <w:t xml:space="preserve">Having collected and structured sufficient materials I created a logical framework, in which I placed my scientific work. Following a short theoretical introduction, I presented the domestic and international regulation of adoption, including the main provisions of the Hague Convention on the international adoption of children and in relation thereto, the adoption practices of certain countries that are somewhat different than the average based on certain criteria. The theoretical material was then supported by statistical data and case-studies.</w:t>
      </w:r>
      <w:r>
        <w:rPr>
          <w:color w:val="000000"/>
          <w:sz w:val="24"/>
          <w:szCs w:val="24"/>
        </w:rPr>
        <w:br/>
        <w:t xml:space="preserve">Based on my impressions, having analyzed the topic, I intended to shed light on some of the problems that legislation and the practice of law face and I offered my individual suggestions as integrated in the assessment of the respective parts. Albeit the domestic regulation of adoption is one of the most often changed domains in family law, I still intend to support regulation facilitating adoption from abroad, which practice is also preferred by the practitioners themselves.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232778">
    <w:multiLevelType w:val="hybridMultilevel"/>
    <w:lvl w:ilvl="0" w:tplc="367197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232778">
    <w:abstractNumId w:val="132327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63496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