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BORBÉNYI LAURA BIANKA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Szomora Zsolt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jogtárgyharmonikus értelmezés a bírói gyakorlat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a jogtárgyharmonikus értelmezésnek a bírói gyakorlatban való érvényesülését vizsgáltam. Témaválasztásom oka élénk érdeklődésem a jogértelmezés és annak gyakorlati megnyilvánulása iránt, célom pedig az, hogy felhívjam a figyelmet arra, hogy sok esetben annak ellenére, hogy a bíróságok helyesen felismerik a jogtárgyharmonikus értelmezés igénybevételének szükségességét és célszerűségét, helytelenül vagy következetlenül alkalmazzák azt, ami téves útra tereli a joggyakorlatot.</w:t>
      </w:r>
      <w:r>
        <w:rPr>
          <w:color w:val="000000"/>
          <w:sz w:val="24"/>
          <w:szCs w:val="24"/>
        </w:rPr>
        <w:br/>
        <w:t xml:space="preserve">Dolgozatom kiindulópontjaként bemutatom a büntetőtörvény értelmezésének alapjait és magának a jogtárgyharmonikus értelmezési módszernek a lényegét, történeti hátterét, valamint alkalmazásának következményeit.</w:t>
      </w:r>
      <w:r>
        <w:rPr>
          <w:color w:val="000000"/>
          <w:sz w:val="24"/>
          <w:szCs w:val="24"/>
        </w:rPr>
        <w:br/>
        <w:t xml:space="preserve">Ezt követően a dolgozatot jogesetek feldolgozásával folytatom, melynek keretében megvizsgálom, hogy a bíróságok a jogtárgyharmonikus értelmezés által milyen következtetésekre jutottak és ezek milyen módon befolyásolták a döntéshozatalt. Ennek kapcsán az ügyeket külön kategorizálva rámutatok arra a jogalkalmazói gyakorlatra, mely az adott kategória kapcsán kialakult, értékelve azt a pozitívumok és a negatívumok számbavételével. Az egyes ügyeket azok valamely sajátossága, közös vonása alapján gyűjtöm csoportba, így például külön kezelem azokat a jogeseteket, melyekben fontos szerepet kap a társadalomra veszélyesség kérdése, amely témát részletesebben is megvizsgálom a dolgozatban, tekintettel annak kiemelt fontosságára. Az eseti döntések feldolgozása során a jogszabályok, jogforrások mellett a szakirodalmi eredményekre is támaszkodom, reflektálva az azokban felmerülő véleményekre, elképzelésekre is.</w:t>
      </w:r>
      <w:r>
        <w:rPr>
          <w:color w:val="000000"/>
          <w:sz w:val="24"/>
          <w:szCs w:val="24"/>
        </w:rPr>
        <w:br/>
        <w:t xml:space="preserve">A jogesetek elemzése alapján azt a következtetést vonom le, hogy a bíróságok nem minden esetben követnek helyes gyakorlatot, ami alapvetően két tőből fakad: egyrészt az esetek egy részében rosszul alkalmazzák a jogtárgyharmonikus értelmezést (így tipikusan az önkényuralmi jelképek használata, visszaélés lőfegyverrel vagy lőszerrel bűncselekmények vonatkozásában), másrészt a jogalkalmazás következetlen (így például a kerítés, a kitartottság vagy az üzletszerű kéjelgés elősegítése rendbeliségének kérdésében). Mindez abszurd döntéseket, bizonytalan joggyakorlatot eredményez és veszélyeztetheti a jogbiztonságot is.</w:t>
      </w:r>
      <w:r>
        <w:rPr>
          <w:color w:val="000000"/>
          <w:sz w:val="24"/>
          <w:szCs w:val="24"/>
        </w:rPr>
        <w:br/>
        <w:t xml:space="preserve">Az egységes, helytálló és következetes jogalkalmazás érdekében a bíróságoknak – véleményem szerint – változtatniuk kell a dolgozatban kritizált kérdésekkel kapcsolatos eddig kialakult gyakorlatukon.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422383">
    <w:multiLevelType w:val="hybridMultilevel"/>
    <w:lvl w:ilvl="0" w:tplc="146189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422383">
    <w:abstractNumId w:val="684223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2037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