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BIANKA BORBÉNYI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purposive interpretation in the light of the judicial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examined the enforcement how the purposive interpretation is applied by the judicial practice. The reason that I chose this topic is that I am interested in interpretation of law and the practical implementation of it, and my aim is to call attention to the fact that in many cases, despite of the fact that the courts correctly recognize the expediency and the necessity of using of the purposive interpretation, it is applied it incorrectly and inconsistently. This can result in wrong legal practice. As a starting point of my paper, I present the basics of the interpretation of criminal law and the essence, the historical background and the consequence of the application of purposive interpretation.</w:t>
      </w:r>
      <w:r>
        <w:rPr>
          <w:color w:val="000000"/>
          <w:sz w:val="24"/>
          <w:szCs w:val="24"/>
        </w:rPr>
        <w:br/>
        <w:t xml:space="preserve">Subsequently, I continue my paper with analysis of judicial cases and I examine what conclusions were reached by the courts by way of purposive interpretation and how these conclusions influence the decision-making. In regard to this, I categorize the cases and give an overview of the judicial practice, which is formed in connection with the particular case-categories. I analyse this considering the positive and the negative aspects. I collect the cases into groups on the basis of their specificity and common features. For example, I discuss separately the cases in which the social dangerousness plays a significant role, which topic is also examined in more details in the paper, having regard for the high importance of it. During the analysis of single cases, I consider both the legal sources and the results of jurisprudence, also commenting on scholar’s opinions, ideas.</w:t>
      </w:r>
      <w:r>
        <w:rPr>
          <w:color w:val="000000"/>
          <w:sz w:val="24"/>
          <w:szCs w:val="24"/>
        </w:rPr>
        <w:br/>
        <w:t xml:space="preserve">On the basis of the analysis of the cases I came to the conclusion that the courts do not always follow correct practice, which basically has two grounds: on the one hand, in some cases they use improperly the purposive interpretation (typically in terms of use of forbidden dictatorship symbols, illegal possession of firearms and ammunition). On the other hand, the jurisdiction is inconsistent (for example in terms of sexual offences related to prostitution). This results in absurd decisions, uncertain legal practice and endangers the legal security.</w:t>
      </w:r>
      <w:r>
        <w:rPr>
          <w:color w:val="000000"/>
          <w:sz w:val="24"/>
          <w:szCs w:val="24"/>
        </w:rPr>
        <w:br/>
        <w:t xml:space="preserve">For the sake of unified, correct and consistent jurisdiction, the courts –in my opinion – have to change their current practice in connection with the questions which are criticized in the paper.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43939">
    <w:multiLevelType w:val="hybridMultilevel"/>
    <w:lvl w:ilvl="0" w:tplc="4614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43939">
    <w:abstractNumId w:val="18843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448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