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ANDOR</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Szomora Zsolt</w:t>
            </w:r>
          </w:p>
          <w:p w:rsidR="00DB4822" w:rsidRDefault="00DB4822" w:rsidP="00E11062">
            <w:pPr>
              <w:pStyle w:val="Konzulensek"/>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gyermekprostitúció anyagi büntetőjogi kérdései, különös tekintettel az ügyfél cselekményére</w:t>
      </w:r>
    </w:p>
    <w:p w:rsidR="00D71DF5" w:rsidRDefault="00D71DF5" w:rsidP="00AD2602">
      <w:pPr>
        <w:jc w:val="both"/>
      </w:pPr>
    </w:p>
    <w:p>
      <w:pPr>
        <w:pBdr/>
        <w:spacing w:before="240" w:after="240" w:line="240" w:lineRule="auto"/>
        <w:ind w:left="0" w:right="0"/>
        <w:jc w:val="left"/>
      </w:pPr>
      <w:r>
        <w:rPr>
          <w:color w:val="000000"/>
          <w:sz w:val="24"/>
          <w:szCs w:val="24"/>
        </w:rPr>
        <w:t xml:space="preserve">A gyermekprostitúció kizsákmányolása elleni büntetőjogi fellépés tárgyában napjainkban már számos Magyarországra is kötelező, ezáltal a hazai jogalkotást érdemben befolyásoló nemzetközi és uniós instrumentum született. Ennek ellenére a szakirodalom mindezidáig nem vizsgálta részletesen ezen egyre nagyobb érdeklődésre számot tartó problémakört, diákköri munkám éppen ezt az űrt kívánja meg betölteni.</w:t>
      </w:r>
    </w:p>
    <w:p>
      <w:pPr>
        <w:pBdr/>
        <w:spacing w:before="240" w:after="240" w:line="240" w:lineRule="auto"/>
        <w:ind w:left="0" w:right="0"/>
        <w:jc w:val="left"/>
      </w:pPr>
      <w:r>
        <w:rPr>
          <w:color w:val="000000"/>
          <w:sz w:val="24"/>
          <w:szCs w:val="24"/>
        </w:rPr>
        <w:t xml:space="preserve">A gyermekprositúció fogalmának ismeretében – dolgozatom egyfajta premisszájaként – egy olyan modern jogi tárgyat határozok meg, amely összhangban áll a nemzetközi elvárásokkal. A védendő érdek szemszögéből elsődlegesen a szexuális szolgáltatást igénybevevő személy cselekményét pönalizáló hatályos tényállást (Btk. 202/A. §) elemzem, és mutatom ki, hogy az nem nyújt megfelelő védelmet a passzív alanyi kör számára. A dogmatikailag helyes megoldás megtalálása érdekében megvizsgálom az osztrák és német büntetőkódex vonatkozó rendelkezéseit, illetve az ezekhez kapcsolódó egyes szakirodalmi megállapításokat. Választásom azért is esett az említett két országra, mivel mindkettő uniós tagállam, így az Európai Unió jogi aktusai rájuk is ugyanúgy kötelezőek. Mindez azért lényeges, mert ezáltal lehetőség nyílik a magyar szakirodalomban még csupán kialakulóban lévő jogharmonizációs jogösszehasonlítás módszerének alkalmazására, amely az elemzés középpontjába az egyes – esetünkben magyar, osztrák, német – normaszövegek uniós instrumentumoknak való megfelelését helyezi. A joganyagok ekképpen történő feldolgozása olyan következtetések levonására biztosít lehetőséget, amelyek feltétlenül összhangban állnak a jogi tárggyal, így irányadóak lehetnek a jövő jogalkotása számára is.</w:t>
      </w:r>
      <w:r>
        <w:rPr>
          <w:color w:val="000000"/>
          <w:sz w:val="24"/>
          <w:szCs w:val="24"/>
        </w:rPr>
        <w:br/>
        <w:br/>
        <w:t xml:space="preserve">Diákköri munkám következő szerkezeti egységében további kizsákmányoló magatartások (pl. „futtató” vagy a rábíró személy cselekményei) büntetőjogi megítélésével foglalkozom. Megvizsgálom a de lege lata Btk. gyermekprostitúciót érintő egyéb deliktumait, rámutatok számos elhatárolási problémára, illetve ezek alapján egy önálló, sui generis jellegű tényállás megalkotásának szükségességére.</w:t>
      </w:r>
    </w:p>
    <w:p>
      <w:pPr>
        <w:pBdr/>
        <w:spacing w:before="240" w:after="240" w:line="240" w:lineRule="auto"/>
        <w:ind w:left="0" w:right="0"/>
        <w:jc w:val="left"/>
      </w:pPr>
      <w:r>
        <w:rPr>
          <w:color w:val="000000"/>
          <w:sz w:val="24"/>
          <w:szCs w:val="24"/>
        </w:rPr>
        <w:t xml:space="preserve">Az Országgyűlés által 2012 júniusában elfogadott, de még hatályba nem lépett büntető törvénykönyv számos változást hoz a gyermekek szexuális kizsákmányolásának szabályozása terén, így dolgozatom záró fejezetében a korábbiakban levont következtetések és a 2012. évi C. törvény tényállásainak összevetésére kerül sor.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89704">
    <w:multiLevelType w:val="hybridMultilevel"/>
    <w:lvl w:ilvl="0" w:tplc="60955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89704">
    <w:abstractNumId w:val="87489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3228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