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ANDOR GÁL</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Zsolt Szomora</w:t>
            </w:r>
          </w:p>
          <w:p w:rsidR="00DB4822" w:rsidRDefault="00DB4822" w:rsidP="00E11062">
            <w:pPr>
              <w:pStyle w:val="Konzulensek"/>
            </w:pPr>
            <w:r w:rsidRPr="00DB4822">
              <w:t>Associate 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questions of child prostitution from the perspective of criminal law, in particular view of the client’s action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subject of criminal law actions against exploitation of children for the purpose of prostitution, several international and EU legal instruments have been confined nowadays, significantly influencing domestic legislations in Hungary. However, the literature has not yet examined it in detail up to now, despite the growing interest on this issue. Therefore, this is exactly where my paper aims at filling the void.</w:t>
      </w:r>
    </w:p>
    <w:p>
      <w:pPr>
        <w:pBdr/>
        <w:spacing w:before="240" w:after="240" w:line="240" w:lineRule="auto"/>
        <w:ind w:left="0" w:right="0"/>
        <w:jc w:val="left"/>
      </w:pPr>
      <w:r>
        <w:rPr>
          <w:color w:val="000000"/>
          <w:sz w:val="24"/>
          <w:szCs w:val="24"/>
        </w:rPr>
        <w:t xml:space="preserve">On the basis of the concept of child prostitution – like a sort of premise – I can define a modern legally protected interest, which is consistent with international expectations. First of all, I analyse – from the perspective of the protected interest – the statutory definition of the relevant sui generis criminal offence (§ 202/A. CC), which coverns the client’s conduct and I point out, that it does not provide adequate protection the persons, who are younger than 18 years of age. In order to find a correct dogmatic solution, I examine the relevant Austrian and German Criminal Code provisions, and some of the related literature findings. Both of these countries, as both are EU members, thus, the European Union legal instruments are binding upon them in the same way. This is important for making it possible to use the comparative method of legal harmonisation, which has recently been introduced into the Hungarian legal literature as a new method. The focus of this approach is the analysis of the selected – Hungarian, Austrian and German – legal texts in compliance with EU instruments. After that, we have the opportunity to draw conclusions in the view of the legally protected interest. These conclusions may be useful for future legislations as well.</w:t>
      </w:r>
    </w:p>
    <w:p>
      <w:pPr>
        <w:pBdr/>
        <w:spacing w:before="240" w:after="240" w:line="240" w:lineRule="auto"/>
        <w:ind w:left="0" w:right="0"/>
        <w:jc w:val="left"/>
      </w:pPr>
      <w:r>
        <w:rPr>
          <w:color w:val="000000"/>
          <w:sz w:val="24"/>
          <w:szCs w:val="24"/>
        </w:rPr>
        <w:t xml:space="preserve">The next chapter of my thesis analyses further exploitative conducts (such as "ponce’s" or persuading person's conducts) from the perspective of criminal law and it examines other relevant criminal offences provided by the Criminal Code currently in force. Due to this analysis I can point out a number of delimitation problems and the necessity of the creation of a new substantive, sui generis stautory definition, too.</w:t>
      </w:r>
    </w:p>
    <w:p>
      <w:pPr>
        <w:pBdr/>
        <w:spacing w:before="240" w:after="240" w:line="240" w:lineRule="auto"/>
        <w:ind w:left="0" w:right="0"/>
        <w:jc w:val="left"/>
      </w:pPr>
      <w:r>
        <w:rPr>
          <w:color w:val="000000"/>
          <w:sz w:val="24"/>
          <w:szCs w:val="24"/>
        </w:rPr>
        <w:t xml:space="preserve">In June 2012, the National Assembly passed a Penal Code not yet in force, which has a number of changes in the regulation of sexual exploitation of children. So in the final part of my work, I compare my conclusions with the new legislation.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302491">
    <w:multiLevelType w:val="hybridMultilevel"/>
    <w:lvl w:ilvl="0" w:tplc="867585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302491">
    <w:abstractNumId w:val="563024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0169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