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GYÉMÁNT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Karsai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Jogellenes drogpolitika, vagy téves jogértelmezés a bírói jogalkalmazásban?  – A fogyasztás, mint elkövetési magatartás a kábítószerrel való visszaélés bűncselekményében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szerzője a Visszaélés kábítószerrel bűncselekményi tényállást (Btk. 282. §) vizsgálja behatóbban, melyen belül is az ún. megszerző-birtokló változattal kapcsolatban felmerülő joghézag kérdését veti fel: milyen alapon válhat büntethetővé a kábítószer-fogyasztás, ha az mint elkövetési alakzat nem szerepel a törvényben?</w:t>
      </w:r>
      <w:r>
        <w:rPr>
          <w:color w:val="000000"/>
          <w:sz w:val="24"/>
          <w:szCs w:val="24"/>
        </w:rPr>
        <w:br/>
        <w:t xml:space="preserve">A szerzőnek tehát a joggyakorlat elemzéséhez, megértéséhez és kritikájához a Legfelsőbb Bíróság (ma már Kúria) kapcsolódó véleményezése mellett a Btk. megfelelő szakaszaihoz fűződő kommentárokat és a Fővárosi Bíróság Büntető Kollégiumának állásfoglalását kellett elsőként számba vennie. Nem maradhatott figyelmen kívül a témával foglalkozó büntetőjogi szakirodalom sem, s mind az általános, mind a különös részi tudományos meghatározások alapul szolgáltak az elemzéshez. Tekintettel azonban a kérdés komplexitására és a kábítószer-jelenség jogi elhatárolásokat messze túllépő terjedelmére, a kutatás magában foglalja a kriminológiai és szociológiai vonatkozásokat egyaránt.</w:t>
      </w:r>
      <w:r>
        <w:rPr>
          <w:color w:val="000000"/>
          <w:sz w:val="24"/>
          <w:szCs w:val="24"/>
        </w:rPr>
        <w:br/>
        <w:t xml:space="preserve">Mivel a dolgozat a joggyakorlattal, a hatóság módszereivel és a törvényi rendelkezésekkel szemben kritikai álláspontot képvisel, a felsorakoztatott ellenérvek nem átallanak az alkotmányos normaszintig sem visszanyúlni, de a nemzetközi viszonylatok összehasonlítása és az ott tapasztalható pozitív példák felvonultatása is részét képezi az argumentációnak. Bár a napjainkra már jóval nehezebben hozzáférhető honi bűnügyi statisztikák kifejező hatást gyakorolhatnának a mondanivalót illetően, a hivatkozások elnehezülése miatt ezekből csak elenyésző mennyiség jelenhetett meg a mellékletek között.</w:t>
      </w:r>
      <w:r>
        <w:rPr>
          <w:color w:val="000000"/>
          <w:sz w:val="24"/>
          <w:szCs w:val="24"/>
        </w:rPr>
        <w:br/>
        <w:t xml:space="preserve">A dolgozat levonja a következtetéseket a hazai drog- és (a kapcsolódó) jogpolitika jelenlegi állapotáról. Véleményt nyilvánít az új Büntető Törvénykönyv (azaz a 2012. évi C. törvény) kábítószer-fogyasztást érintő kriminalizáló rendelkezéseiről, s pellengérre állítja azoknak létjogosultságát. Szó esik továbbá a probléma megfelelő kezelésének lehetséges módjairól – a minden észérvet megkerülő pönalizálástól azonban a szerző elhatárolódik.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07775">
    <w:multiLevelType w:val="hybridMultilevel"/>
    <w:lvl w:ilvl="0" w:tplc="18859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07775">
    <w:abstractNumId w:val="41007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912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