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GYÉMÁNT</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Karsai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Unlawful Drug Policy or Wrong Interpretation in the Judicial Practice? – Consumption as Criminal conduct in the crime of Drug Abuse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of the essay makes a close study of Drug Abuse (Section 282 of the Criminal Code). Within the so-called aquiring and possessing variants of this crime there is loophole which is querying the law enforcement: on what grounds can the drug-use be punishable if there is no such commital figure in the Code?</w:t>
      </w:r>
      <w:r>
        <w:rPr>
          <w:color w:val="000000"/>
          <w:sz w:val="24"/>
          <w:szCs w:val="24"/>
        </w:rPr>
        <w:br/>
        <w:t xml:space="preserve">In order to analyse and understand the judicial practice as well as its criticism, the author had to take into consideration the commentaries related to the proper section of the Penal Code and the standpoint of the Supreme Court (which is now called The Curia of Hungary) as well as the position of the Metropolitan Court of Budapest.</w:t>
      </w:r>
      <w:r>
        <w:rPr>
          <w:color w:val="000000"/>
          <w:sz w:val="24"/>
          <w:szCs w:val="24"/>
        </w:rPr>
        <w:br/>
        <w:t xml:space="preserve">The criminal literature related to the topic could not be left out consideration and the scientific determinations of the General and Special Parts served ground for the analysis. With regard to the complexity of the question and the range of the drug problem going far behind the legal limits, the research equally involves criminological and sociological aspects.</w:t>
      </w:r>
      <w:r>
        <w:rPr>
          <w:color w:val="000000"/>
          <w:sz w:val="24"/>
          <w:szCs w:val="24"/>
        </w:rPr>
        <w:br/>
        <w:t xml:space="preserve">Since the essay represents a critical stand facing the practice of the courts, the methods of authorities and the provisions of law, the aligned cons are remounting back to the constitutional norms while the comparison of international circumstances and the deployment of positive precedents are also taking part of the argumentation. Although nowadays it is much harder to reach interior crime statistics, in fact they have an expressive influence on the message – a vanishing amount of them could appear in the supplements.</w:t>
      </w:r>
      <w:r>
        <w:rPr>
          <w:color w:val="000000"/>
          <w:sz w:val="24"/>
          <w:szCs w:val="24"/>
        </w:rPr>
        <w:br/>
        <w:t xml:space="preserve">The essay is drawing the conclusions about the recent conditions of the domestic drug policy and the related criminal politics. It offers an opinion about the provisions criminalizing drug consumption in the new Criminal Code (Act C of 2012) and it puts their usefulness in the pillory. In addition some words are spoken about the proper treatment of the problem – the author is distancing himself from penalising without any reasons.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07839">
    <w:multiLevelType w:val="hybridMultilevel"/>
    <w:lvl w:ilvl="0" w:tplc="46061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07839">
    <w:abstractNumId w:val="75807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403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