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BALAZS HAJDU</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Hegedus</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Dr Krisztina Karsai</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Practical Questions of Restrain Applicable Due To Violence Among Relatives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r>
        <w:rPr>
          <w:color w:val="000000"/>
          <w:sz w:val="24"/>
          <w:szCs w:val="24"/>
        </w:rPr>
        <w:br/>
        <w:t xml:space="preserve">In the last decade it can significantly be observed that an extremely high number of cases of violence within family have occurred that have increasingly pervaded the public opinion, and have been brought to publicity by the media, together with the need for more effective action against it. Even as a college student as well as a police officer I could have not accepted those generalized opinions, according to which the police takes actions in the above mentioned cases only when “blood flows”, therefore if they go out to a family conflict, they can not, or they do not want to take measures on its merits. In the last decades the conditions of detention, denoting – at least – temporary solution in similar “violent” cases have changed. Although the Code on Criminal Procedure had scarcely been changed in this context, however the scope of employment, the prosecutorial practice of judgement on complaints makes all the forms of detention possible in a much narrower scope than earlier.</w:t>
      </w:r>
      <w:r>
        <w:rPr>
          <w:color w:val="000000"/>
          <w:sz w:val="24"/>
          <w:szCs w:val="24"/>
        </w:rPr>
        <w:br/>
        <w:t xml:space="preserve">The violence within a family, as an independent state of affairs, is (still) not defined in the criminal law. Protectors of law, feminist movements had jumped into a battle for such solutions as early as in the last third of the previous century that are being capable of stopping mortifications, humiliations and degradations committed in closed family sphere that are not being qualified as criminal offences or even petty offences in order to be suitable of preventing danger prior to ascertaining criminal penalty. </w:t>
      </w:r>
      <w:r>
        <w:rPr>
          <w:color w:val="000000"/>
          <w:sz w:val="24"/>
          <w:szCs w:val="24"/>
        </w:rPr>
        <w:br/>
        <w:t xml:space="preserve">In my thesis I am presenting how a matter that was not earlier talked about became a “public affair”. I have followed the formation process of the Act LXXII. of 2009. on restrain applicable due to violence among relatives not being free of contradictions, as well as the relatively short term practice of its employment, being a bit “system-foreign” from the law of civil procedure, but that could taxonomically rather be connected here, taking also a glance to a restrain, as a coercive measure being imposed in the criminal law much earlier assigned to apply similar goals, which however are in practice not functioning satisfactorily.</w:t>
      </w:r>
      <w:r>
        <w:rPr>
          <w:color w:val="000000"/>
          <w:sz w:val="24"/>
          <w:szCs w:val="24"/>
        </w:rPr>
        <w:br/>
        <w:t xml:space="preserve">In my thesis I am making a proposal for the elimination of the deficiency of the legal background, elimination of its contradictions, as well as its coherence-confusions, together with the possibilities for further action I have imagined.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14613">
    <w:multiLevelType w:val="hybridMultilevel"/>
    <w:lvl w:ilvl="0" w:tplc="77777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14613">
    <w:abstractNumId w:val="57414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555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