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MONORI ZSUZSANNA ÉVA</w:t>
            </w:r>
          </w:p>
          <w:p w:rsidR="00C275A3" w:rsidRDefault="00A96AEC" w:rsidP="00C275A3">
            <w:pPr>
              <w:pStyle w:val="Hallgatokepzes"/>
            </w:pPr>
            <w:r>
              <w:t>jogász, nappali</w:t>
            </w:r>
            <w:r>
              <w:br/>
            </w:r>
            <w:r w:rsidR="00E77B23">
              <w:t>Osztatlan, 7. félév</w:t>
            </w:r>
          </w:p>
          <w:p w:rsidR="00C265CE" w:rsidRPr="009E5FF1" w:rsidRDefault="00E77B23" w:rsidP="00C275A3">
            <w:pPr>
              <w:pStyle w:val="Hallgatokepzes"/>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Szomora Zsolt</w:t>
            </w:r>
          </w:p>
          <w:p w:rsidR="00DB4822" w:rsidRDefault="00DB4822" w:rsidP="00E11062">
            <w:pPr>
              <w:pStyle w:val="Konzulensek"/>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Zaklatás – Egy tényállás kritikája a magyar joggyakorlat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ZAKLATÁS – EGY TÉNYÁLLÁS KRITIKÁJA A MAGYAR JOGGYAKORLAT TÜKRÉBEN</w:t>
      </w:r>
    </w:p>
    <w:p>
      <w:pPr>
        <w:widowControl w:val="on"/>
        <w:pBdr/>
        <w:spacing w:before="240" w:after="240" w:line="240" w:lineRule="auto"/>
        <w:ind w:left="0" w:right="0"/>
        <w:jc w:val="left"/>
      </w:pPr>
      <w:r>
        <w:rPr>
          <w:color w:val="000000"/>
          <w:sz w:val="24"/>
          <w:szCs w:val="24"/>
        </w:rPr>
        <w:t xml:space="preserve">Kutatásom célja az volt, hogy a zaklatás tényállásának jelenleg hatályos magyar szabályozásáról egy olyan átfogó képet tárjak az Olvasó elé, amely ezidáig nem lelhető fel a magyar jogirodalomban.</w:t>
      </w:r>
      <w:r>
        <w:rPr>
          <w:color w:val="000000"/>
          <w:sz w:val="24"/>
          <w:szCs w:val="24"/>
        </w:rPr>
        <w:br/>
        <w:t xml:space="preserve">Dolgozatomban a zaklatás Btk. 176/A. §-ában található tényállásai alakzatainak elemzését és összehasonlítását fejtem ki, melynek kiindulópontja a klasszikus tényállás-elemzési rendszer. Az egyes tényállási elemek részletes kifejtése során jogeseteken keresztül is rá kívánok mutatni a jogirodalomban eddig feltárt és a még ki nem munkált ellentmondásokra és hiányosságokra. Az említett példákhoz és jogesetekhez ügyészségi joggyakorlatom alatt végzett aktakutatásom eredményeit használtam fel. Tekintve, hogy dolgozatomban jogalkalmazási kérdésekre is kitérek, egyes fejezetekben nem kerülhettem meg a büntetőeljárásról szóló törvény vonatkozó rendelkezéseit sem, annak ellenére, hogy dolgozatom elsődlegesen anyagi jogi témát tár fel.</w:t>
      </w:r>
      <w:r>
        <w:rPr>
          <w:color w:val="000000"/>
          <w:sz w:val="24"/>
          <w:szCs w:val="24"/>
        </w:rPr>
        <w:br/>
        <w:t xml:space="preserve">Az egyes tényállási elemekhez kapcsolódóan több de lege ferenda javaslattal is élek. Szükségesnek látom a tényállási elemek körében a háborgatás, mint elkövetési magatartás tartalmának egy értelmező rendelkezéssel való meghatározását, iránymutatást adva ezzel a jogalkalmazónak. Ahogyan a magánszférának, úgy sérelmének is számtalan megvalósulási módja létezik, amelyek nem minden esetben érdemelnek büntetőjogi reakciót. Az elkövetési módként maghatározott rendszerességgel és tartóssággal kapcsolatosan fontos lenne egy olyan generális minimum felállítása, amellyel a bagatell cselekmények kiszűrhetőek lennének a tényállásszerű zaklatások közül. Emellett a (2) bekezdés a) és b) pontja szerinti zaklatásnak egy egységes tényállásba foglalását is fölvetem, továbbá a fenyegetés mellett indokoltnak érzem a félelemkeltés értelmező rendelkezéssel való meghatározását is. Valamit állást foglalok a zaklatás (1) bekezdés szerinti fordulatának magánvádas bűncselekmények közé emelése mellett is, teret adva ezzel a sértetti szubjektum megfelelő módon történő érvényesítésének.</w:t>
      </w:r>
      <w:r>
        <w:rPr>
          <w:color w:val="000000"/>
          <w:sz w:val="24"/>
          <w:szCs w:val="24"/>
        </w:rPr>
        <w:br/>
        <w:t xml:space="preserve">Befejezéseképpen külön fejezetet szentelek a jövő évben hatályba lépő, új büntetőjogi kódexünk által hozott tényállásbeli változásoknak, melyeket párhuzamba állítok a mai szabályozással kapcsolatosan korábban kifejtett jogi problémákkal. Végezetül azt vizsgálom, mennyire oldhatják fel, illetőleg mélyíthetik tovább e tényállási újítások az eddig felmerült jogalkalmazási nehézségeket.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22041">
    <w:multiLevelType w:val="hybridMultilevel"/>
    <w:lvl w:ilvl="0" w:tplc="2379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22041">
    <w:abstractNumId w:val="86722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345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