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ZSUZSANNA EVA MONORI</w:t>
            </w:r>
          </w:p>
          <w:p w:rsidR="00C275A3" w:rsidRDefault="00A96AEC" w:rsidP="00C275A3">
            <w:pPr>
              <w:pStyle w:val="Hallgatokepzes"/>
            </w:pPr>
            <w:r>
              <w:t>lawyer</w:t>
            </w:r>
            <w:r>
              <w:br/>
            </w:r>
            <w:r w:rsidR="00E77B23">
              <w:t>Unified, 7. semester</w:t>
            </w:r>
          </w:p>
          <w:p w:rsidR="00C265CE" w:rsidRPr="009E5FF1" w:rsidRDefault="00E77B23" w:rsidP="00C275A3">
            <w:pPr>
              <w:pStyle w:val="Hallgatokepzes"/>
              <w:rPr>
                <w:b/>
                <w:caps/>
              </w:rPr>
            </w:pPr>
            <w:r>
              <w:t>University of Szeged</w:t>
            </w:r>
            <w:r w:rsidR="00C275A3">
              <w:br/>
            </w:r>
            <w:r w:rsidR="00DB4822">
              <w:t>Faculty of Law</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Zsolt Szomora</w:t>
            </w:r>
          </w:p>
          <w:p w:rsidR="00DB4822" w:rsidRDefault="00DB4822" w:rsidP="00E11062">
            <w:pPr>
              <w:pStyle w:val="Konzulensek"/>
            </w:pPr>
            <w:r w:rsidRPr="00DB4822">
              <w:t>associate professor, SZTE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HARASSMENT - CRITICAL ANALYSIS OF A STATUTORY DEFINTION IN THE LIGHT OF THE HUNGARIAN LEGAL PRACTICE </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HARASSMENT -</w:t>
      </w:r>
      <w:r>
        <w:rPr>
          <w:color w:val="000000"/>
          <w:sz w:val="24"/>
          <w:szCs w:val="24"/>
        </w:rPr>
        <w:br/>
        <w:t xml:space="preserve">CRITICAL ANALYSIS OF A STATUTORY DEFINTION IN THE LIGHT OF THE HUNGARIAN LEGAL PRACTICE</w:t>
      </w:r>
      <w:r>
        <w:rPr>
          <w:color w:val="000000"/>
          <w:sz w:val="24"/>
          <w:szCs w:val="24"/>
        </w:rPr>
        <w:br/>
        <w:t xml:space="preserve">The aim of my research was to show a comprehensive picture about the current Hungarian regulation of harassment, which cannot be found so far in the Hungarian legal literature.</w:t>
      </w:r>
      <w:r>
        <w:rPr>
          <w:color w:val="000000"/>
          <w:sz w:val="24"/>
          <w:szCs w:val="24"/>
        </w:rPr>
        <w:br/>
        <w:t xml:space="preserve">In this paper, I expound the interpretation and the comparison of the formations of the criminal offence of harassment provided by Art. 176/A. CC.. During the detailed analysis of the main elements, including real legal cases, I want to point at those contradictions and deficiencies, which have been explored but not yet solved. For the legal cases and examples mentioned I used my practical experiences I obtained during my traineeship at the Public Prosecutors’ Office. Since I discuss practical questions too, in each chapters, I had to regard the relevant provisions of the law of criminal proceedings as well.</w:t>
      </w:r>
      <w:r>
        <w:rPr>
          <w:color w:val="000000"/>
          <w:sz w:val="24"/>
          <w:szCs w:val="24"/>
        </w:rPr>
        <w:br/>
        <w:t xml:space="preserve">Related to each statutory element, I make several de lege ferenda proposals. I think it is necessary to define privacy at a certain level in order not to let the victim’s subjectivity be the only aspect that determines the content of the right to privacy and the inviolability of private life. In my opinion it would be useful to define the meaning of disturbance as a criminal conduct, with an interpretative provision or with an exemplary list. Privacy can be very diverse, it has many ways of realization, which do not need a response by the criminal justice system in each and every case. It would be necessary to formulate a general minimum of the elements “durability” and “regularity”. This would make possible to filter petty conducts out of the real crimes. I point out the need for the unification of the forms of harassment under section (2) a) and b), since this degree of distinction in behaviours is more than questionable. In addition, I think it is justified to define the meaning of intimidation with an interpretative provision. Over and above I am of the opinion if harassment are realized only by way of disturbance but not that of violence, it should be punished only by private prosecution, so the victim’s subjectivity can prevail in the appropriate way.</w:t>
      </w:r>
      <w:r>
        <w:rPr>
          <w:color w:val="000000"/>
          <w:sz w:val="24"/>
          <w:szCs w:val="24"/>
        </w:rPr>
        <w:br/>
        <w:t xml:space="preserve">Finally I give an independent chapter for the new amendments, which will come into force next year. I compare the future and the present text of Law subject to the previously outlined legal issues. I examine that how much the future changes solve or enhance the present problems.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0581249">
    <w:multiLevelType w:val="hybridMultilevel"/>
    <w:lvl w:ilvl="0" w:tplc="4412994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0581249">
    <w:abstractNumId w:val="5058124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2091759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