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TORNYAI</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Krisztina Karsai</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 se criminalization of the organized crime regarding the EU harmonization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treats with some criminal law aspects of the EU documents approved in the course of law-harmonization efforts against the organized crime with a view to sheding light on the outstanding importance of the criminal offences specially linked with the organized crime among the different means of criminal law against the phenomenon concerned.</w:t>
      </w:r>
    </w:p>
    <w:p>
      <w:pPr>
        <w:widowControl w:val="on"/>
        <w:pBdr/>
        <w:spacing w:before="240" w:after="240" w:line="240" w:lineRule="auto"/>
        <w:ind w:left="0" w:right="0"/>
        <w:jc w:val="left"/>
      </w:pPr>
      <w:r>
        <w:rPr>
          <w:color w:val="000000"/>
          <w:sz w:val="24"/>
          <w:szCs w:val="24"/>
        </w:rPr>
        <w:t xml:space="preserve">According to this perspective, after a brief historical summery of the „anti-organized crime” efforts of the EU, I began my thesis by presenting the definitions connected with the phenomenon. That chapter calls attention to the difficulties which the „harmonizators” faced, when, exposed to the crossfire of criminal law principles and criminal policy aspects as well as the opposing demands of the member states, they had to form an appropriately accurate but not too detailed defintion of „criminal organization”.</w:t>
      </w:r>
    </w:p>
    <w:p>
      <w:pPr>
        <w:widowControl w:val="on"/>
        <w:pBdr/>
        <w:spacing w:before="240" w:after="240" w:line="240" w:lineRule="auto"/>
        <w:ind w:left="0" w:right="0"/>
        <w:jc w:val="left"/>
      </w:pPr>
      <w:r>
        <w:rPr>
          <w:color w:val="000000"/>
          <w:sz w:val="24"/>
          <w:szCs w:val="24"/>
        </w:rPr>
        <w:t xml:space="preserve">Afterwards, I classify the „organized crime”-related offences among criminal law instruments then I discuss separately the two types included in the Framework Decision: the „conspiracy” which has its origin in the common law countries and the continental one concerning „participation in criminal organization”. To the latter one I regard as an offence refferring to the status of membership of the criminal organization. Besides, I complete my analysis by studying some other „criminal organization”-related statuses (founder, leader, organizer, outside supporter) which have not been included in the final text of the EU documents yet.</w:t>
      </w:r>
    </w:p>
    <w:p>
      <w:pPr>
        <w:widowControl w:val="on"/>
        <w:pBdr/>
        <w:spacing w:before="240" w:after="240" w:line="240" w:lineRule="auto"/>
        <w:ind w:left="0" w:right="0"/>
        <w:jc w:val="left"/>
      </w:pPr>
      <w:r>
        <w:rPr>
          <w:color w:val="000000"/>
          <w:sz w:val="24"/>
          <w:szCs w:val="24"/>
        </w:rPr>
        <w:t xml:space="preserve">In the last chapter of my thesis, I show how differently the harmonization goals may be fulfilled during the implementation of the above-mentioned offences in the national legal systems. Here I state my point of view about the current Hungarian rules connected to organized crime which do not express adequately the level of danger to the society and the injury of the legal object which explain the increased actions against organized crime and the per se criminalization of that. As a comparison, I bring up the example of the Italian legislation which was a sample also for the EU harmonization. Italy has had to face intensively the issue of organized crime for long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618252">
    <w:multiLevelType w:val="hybridMultilevel"/>
    <w:lvl w:ilvl="0" w:tplc="89880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618252">
    <w:abstractNumId w:val="176182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343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