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BALOG</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Homoki-Nagy</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lease in the Hungarian judge-practice of the 19th century by the Austrian Civil Code's effects onto the Hungarian private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Two decades after the failure of the Hungarian Revolution of 1848/49 there were constant changes in the Hungarian constitutional and administrative system as well as in our private law. The Austrian Civil Code was put into force in Hungary by the rejection of the Hungarian Private Law’s promulgation and the position of the Hungarian Private Law’s codification. All of these provisions was overruled by the Iudex Curia in 1861 which put back into force the Hungarian Custom.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On the 1</w:t>
      </w:r>
      <w:r>
        <w:rPr>
          <w:color w:val="000000"/>
          <w:position w:val="4"/>
          <w:sz w:val="21"/>
          <w:szCs w:val="21"/>
          <w:vertAlign w:val="superscript"/>
        </w:rPr>
        <w:t xml:space="preserve">st</w:t>
      </w:r>
      <w:r>
        <w:rPr>
          <w:color w:val="000000"/>
          <w:sz w:val="24"/>
          <w:szCs w:val="24"/>
        </w:rPr>
        <w:t xml:space="preserve"> part of my essay I am speaking about the disquisition of leases and the 2</w:t>
      </w:r>
      <w:r>
        <w:rPr>
          <w:color w:val="000000"/>
          <w:position w:val="4"/>
          <w:sz w:val="21"/>
          <w:szCs w:val="21"/>
          <w:vertAlign w:val="superscript"/>
        </w:rPr>
        <w:t xml:space="preserve">nd</w:t>
      </w:r>
      <w:r>
        <w:rPr>
          <w:color w:val="000000"/>
          <w:sz w:val="24"/>
          <w:szCs w:val="24"/>
        </w:rPr>
        <w:t xml:space="preserve"> part of it is about the our law of obligations’ unfinished way before the promulgation of the Austian Civil Code.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Only some probes was on the subject of Austian Civil Code’s effects onto the Hungarian Law System. The practice was neglected but the theories were hot by seekers. By these reasons I went in quest of its practice. I made it by Archives of Tolna County where I looked how the judge-practice adjusted to the relations of confused private law of neo-absolutism.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Because of the variety of contract forms I highlighted the leases and I spread out the time intervals and methods. I did it because I wanted to get a full illustration about the changes in the legal institutions from the feudale private law to the 1st World War.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was be able to make it on the basis of case books of the upper courts due to the contrasting of the judge-practice, the actions of the Austrian Civil Code. The Lease as a style of contracts was analyzed in so many words on the 3</w:t>
      </w:r>
      <w:r>
        <w:rPr>
          <w:color w:val="000000"/>
          <w:position w:val="4"/>
          <w:sz w:val="21"/>
          <w:szCs w:val="21"/>
          <w:vertAlign w:val="superscript"/>
        </w:rPr>
        <w:t xml:space="preserve">rd</w:t>
      </w:r>
      <w:r>
        <w:rPr>
          <w:color w:val="000000"/>
          <w:sz w:val="24"/>
          <w:szCs w:val="24"/>
        </w:rPr>
        <w:t xml:space="preserve"> part of this topic of my essay. It shows the legal institutions progressing. The Tolna County’s Court of Justice, which was found by my archives project and was connected into the leases, was put into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5331">
    <w:multiLevelType w:val="hybridMultilevel"/>
    <w:lvl w:ilvl="0" w:tplc="27738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5331">
    <w:abstractNumId w:val="51365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738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