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MASA GABRIELLA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Fülöpné Dr. Homoki-Nagy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 Város Bűnfenyítő Törvényszékének ítélkezési gyakorlata 1861 és 1864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Szeged Város Bűnfenyítő Törvényszékének ítélkezési gyakorlatát mutatom be az 1861 és 1864 közötti időszakban. Az első részben a történelmi hátteret vázolom fel Magyarországon, kitekintve az 1848-as szabadságharc által hazánk közjogi helyzetében okozott változásokra egészen 1867-ig.</w:t>
      </w:r>
      <w:r>
        <w:rPr>
          <w:color w:val="000000"/>
          <w:sz w:val="24"/>
          <w:szCs w:val="24"/>
        </w:rPr>
        <w:br/>
        <w:t xml:space="preserve">Ezt követően az igazságszolgáltatási rendszer reformjaira térek rá, különös tekintettel az osztrák jog, valamint az Ideiglenes Törvénykezési Szabályok hatására a büntető jog és a büntető eljárásjog területén. A bírósági szervezet alakulásával kapcsolatban betekintést nyújtok az osztrák reformok által kialakított új ítélkezési fórumokra, majd pedig az Ideiglenes Törvénykezési Szabályokkal visszaállított rendi intézményekre.</w:t>
      </w:r>
      <w:r>
        <w:rPr>
          <w:color w:val="000000"/>
          <w:sz w:val="24"/>
          <w:szCs w:val="24"/>
        </w:rPr>
        <w:br/>
        <w:t xml:space="preserve">A következő részben foglalkozom a Habsburg elnyomás Szegedre mért befolyásával, kitérve részletesen a Szegedi Bűnfenyítő Törvényszék ítélkezési gyakorlatára.</w:t>
      </w:r>
      <w:r>
        <w:rPr>
          <w:color w:val="000000"/>
          <w:sz w:val="24"/>
          <w:szCs w:val="24"/>
        </w:rPr>
        <w:br/>
        <w:t xml:space="preserve">Kutatásom utolsó egysége az élet és testi épség elleni bűncselekményekre terjed ki az 1861 és 1864 közé eső időszakban. Bővebben szemléltetem jogesetek segítségével az egyes cselekmények elbírálásának menetét, a kiszabott büntetéseket és azok alapját szolgáltató bizonyítási eszközöket, valamint nem utolsó sorban a lehetséges perorvoslati módszereket.</w:t>
      </w:r>
      <w:r>
        <w:rPr>
          <w:color w:val="000000"/>
          <w:sz w:val="24"/>
          <w:szCs w:val="24"/>
        </w:rPr>
        <w:br/>
        <w:t xml:space="preserve">Dolgozatom jelentősebb egységében a levéltári kutatásaim során áttanulmányozott jegyzőkönyvek és iratok, valamint a megvizsgált élet és testi épség elleni bűncselekmények segítségével próbálom meg bemutatni, és minél átfogóbban felvázolni Szeged Város Bűnfenyítő Törvényszékének ítélkezési gyakorlatát.</w:t>
      </w:r>
      <w:r>
        <w:rPr>
          <w:color w:val="000000"/>
          <w:sz w:val="24"/>
          <w:szCs w:val="24"/>
        </w:rPr>
        <w:br/>
        <w:t xml:space="preserve">Konklúzióként megállapítható, hogy a közjogi helyzetből eredő jogbizonytalanság késleltette ugyan a büntetőjog és a büntető eljárásjog fejlődését, de az eredendően szokásjogon alapuló bírósági gyakorlatot nem befolyásolta különösképpen Szegeden. A joggyakorlat hiányosságai pedig az egységes magyar büntetőkódex minél rövidebb időn belüli megalkotásának fontosságát tükrözik.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06074">
    <w:multiLevelType w:val="hybridMultilevel"/>
    <w:lvl w:ilvl="0" w:tplc="22040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06074">
    <w:abstractNumId w:val="37906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809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