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MASA</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Homoki- Nagy Dr.Fülöpné</w:t>
            </w:r>
          </w:p>
          <w:p w:rsidR="00DB4822" w:rsidRDefault="00DB4822" w:rsidP="00E11062">
            <w:pPr>
              <w:pStyle w:val="Konzulensek"/>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Judgement practise of Criminal Lawcourt of Szeged City between 1861 and 1864</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present the judgement practise of Criminal Lawcourt of Szeged City in the period between 1861 and 1864. In the first part I outline the historical background in Hungary, considering the changes of public law position caused by the 1848 Hungarian War of Independence up to 1867.</w:t>
      </w:r>
      <w:r>
        <w:rPr>
          <w:color w:val="000000"/>
          <w:sz w:val="24"/>
          <w:szCs w:val="24"/>
        </w:rPr>
        <w:br/>
        <w:t xml:space="preserve">Following this, I go into the reform of jurisdiction system, in particular Austrian law, as well as the Provisional Legislative Regulations as a result of the rules of criminal law and criminal procedural law. In connection with the development of jurisdiction system I allow you to inspect into the forums of jurisdiction formed by Austrian reforms, and then feudal establishment restored by the rules of the Provisional Legislative Regulations.</w:t>
      </w:r>
      <w:r>
        <w:rPr>
          <w:color w:val="000000"/>
          <w:sz w:val="24"/>
          <w:szCs w:val="24"/>
        </w:rPr>
        <w:br/>
        <w:t xml:space="preserve">Next section I deal with the influence of the Habsburg oppression of Szeged, mentioning in detail the judgement practise of Criminal Lawcourt of Szeged City.</w:t>
      </w:r>
      <w:r>
        <w:rPr>
          <w:color w:val="000000"/>
          <w:sz w:val="24"/>
          <w:szCs w:val="24"/>
        </w:rPr>
        <w:br/>
        <w:t xml:space="preserve">The last unit of my research covers to the crime against life and physical health between 1861 and 1864. In more I demonstrate with cases course of judgement of in certain acts, on the basis of the penalties imposed and by evidence, and last but not least, the possible methods of perorvoslat.</w:t>
      </w:r>
      <w:r>
        <w:rPr>
          <w:color w:val="000000"/>
          <w:sz w:val="24"/>
          <w:szCs w:val="24"/>
        </w:rPr>
        <w:br/>
        <w:t xml:space="preserve">Major unit of my paper during my archiving research reports and documents under investigatoned, as well as the crimes against the life and physical integrity, and I can get more comprehensively delineate judgement practise of Criminal Lawcourt of Szeged City.</w:t>
      </w:r>
      <w:r>
        <w:rPr>
          <w:color w:val="000000"/>
          <w:sz w:val="24"/>
          <w:szCs w:val="24"/>
        </w:rPr>
        <w:br/>
        <w:t xml:space="preserve">In conclusion, it is considered that the public law status proceeding legal uncertainty delayed the development of the criminal law and the criminal procedural law, but the main part court practice is based on customary, wasn’t influenced by in Szeged. The flaws of the practice of the courts reflects the importance of the creation of the shorter time the single Hungarian penal codex.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80837">
    <w:multiLevelType w:val="hybridMultilevel"/>
    <w:lvl w:ilvl="0" w:tplc="55768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80837">
    <w:abstractNumId w:val="26780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707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