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MAYER</w:t>
            </w:r>
          </w:p>
          <w:p w:rsidR="00C275A3" w:rsidRDefault="00A96AEC" w:rsidP="00C275A3">
            <w:pPr>
              <w:pStyle w:val="Hallgatokepzes"/>
            </w:pPr>
            <w:r>
              <w:t>lawer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Pozsonyi</w:t>
            </w:r>
          </w:p>
          <w:p w:rsidR="00DB4822" w:rsidRDefault="00DB4822" w:rsidP="00E11062">
            <w:pPr>
              <w:pStyle w:val="Konzulensek"/>
            </w:pPr>
            <w:r w:rsidRPr="00DB4822">
              <w:t>assistant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the Circumstances of Private Exploitation of the Riches of the Depths in Ancient Rome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Mines of the ancient Rome can be classified many different ways. Considering the owner ship however, two main categories can be created. According to this one might distinguish governmental private and mines. The writer of this essay is willing to focus on the latter type of the aforementioned qualities.</w:t>
      </w:r>
    </w:p>
    <w:p>
      <w:pPr>
        <w:pBdr/>
        <w:spacing w:before="240" w:after="240" w:line="240" w:lineRule="auto"/>
        <w:ind w:left="0" w:right="0"/>
        <w:jc w:val="left"/>
      </w:pPr>
      <w:r>
        <w:rPr>
          <w:color w:val="000000"/>
          <w:sz w:val="24"/>
          <w:szCs w:val="24"/>
        </w:rPr>
        <w:t xml:space="preserve">The owners of mines in the early period of the republic were wealthy individuals. That time a principle was in practice which stated that the owner of the estate is also the possessor of the riches of its depths. Later throughout the conquest of the Mediterranean region the newly occupied mines became the property of the state. At this point however we have to mention that in these periods one may also find instances where individuals held mines as their own. Such is the case of Marcus Licinnus Crassus who undoubtedly was the owner of several silver mines. (Ürögdi György: Róma kenyre Róma aranya). The utilisation concession of many of the less important, low-income deposits situated far from the civilised regions of Rome were offered to local contractors by the Senate for certain fees and taxes in return, but even in these cases the ownership belonged to the Republic.</w:t>
      </w:r>
    </w:p>
    <w:p>
      <w:pPr>
        <w:pBdr/>
        <w:spacing w:before="240" w:after="240" w:line="240" w:lineRule="auto"/>
        <w:ind w:left="0" w:right="0"/>
        <w:jc w:val="left"/>
      </w:pPr>
      <w:r>
        <w:rPr>
          <w:color w:val="000000"/>
          <w:sz w:val="24"/>
          <w:szCs w:val="24"/>
        </w:rPr>
        <w:t xml:space="preserve">The essay regarding its structure is source centred. The laws related to this topic are not summarized so the primary sources are fragments of the works of multiple authors from the Digest. These shorter texts derive from different ages and jurists. This fact might give us some explanation why opinions and judgements related to a certain case are so different. After a historical conspectus the writer examines the relations of certain ore and mineral deposits and their ownership of individual people using the aforementioned jurisprudences from the Digest including the exegesis of D. 23,5,18 Iavolenus 6 ex posteriorum; D. 24,3,7,13 Ulpianus 31 ad sab. Followed by D. 23,3,32. Pomponius 16 ad sab. concerning the so called dowry mines and their proceedings . Then she examines the law institution of the usufruct using the fragment D. 7,1,9,3 Ulpianus 17 ad sab. and D. 7,1,13,5Ulpianus 18 ad sab. Furthermore, with regard to the Dacian waxed tablets she inspects the labour law instructions related to the owner of the mine and the miners.</w:t>
      </w:r>
    </w:p>
    <w:p>
      <w:pPr>
        <w:pBdr/>
        <w:spacing w:before="240" w:after="240" w:line="240" w:lineRule="auto"/>
        <w:ind w:left="0" w:right="0"/>
        <w:jc w:val="left"/>
      </w:pPr>
      <w:r>
        <w:rPr>
          <w:color w:val="000000"/>
          <w:sz w:val="24"/>
          <w:szCs w:val="24"/>
        </w:rPr>
        <w:t xml:space="preserve">As a final conclusion the writer summarises the private aspects of roman mining law and the observations she made throughout the exegesis.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82363">
    <w:multiLevelType w:val="hybridMultilevel"/>
    <w:lvl w:ilvl="0" w:tplc="96291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82363">
    <w:abstractNumId w:val="93882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802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