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SUTKA</w:t>
            </w:r>
          </w:p>
          <w:p w:rsidR="00C275A3" w:rsidRDefault="00A96AEC" w:rsidP="00C275A3">
            <w:pPr>
              <w:pStyle w:val="Hallgatokepzes"/>
            </w:pPr>
            <w:r>
              <w:t>specialization of lawyers</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FLORA SZELES</w:t>
            </w:r>
          </w:p>
          <w:p w:rsidR="00DB4822" w:rsidRDefault="00C275A3" w:rsidP="004D7940">
            <w:pPr>
              <w:pStyle w:val="Hallgatokepzes"/>
            </w:pPr>
            <w:r>
              <w:t>specialization of lawyers</w:t>
            </w:r>
            <w:r w:rsidR="00A96AEC">
              <w:br/>
              <w:t>Unified, 9.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Elemer Balogh</w:t>
            </w:r>
          </w:p>
          <w:p w:rsidR="00DB4822" w:rsidRDefault="00DB4822" w:rsidP="00E11062">
            <w:pPr>
              <w:pStyle w:val="Konzulensek"/>
            </w:pPr>
            <w:r w:rsidRPr="00DB4822">
              <w:t>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Cherokee Nation as a sovereign power (1831-1832)</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our research we wanted to find answers for what kind of judicial decisions were made as a result deriving from the efforts for the sovereignty of the Cherokee Indian tribe living in the area of the state of United States, Georgia. As a starting point we reviewed the sovereignty theories of different ages. Next, we turned to the different state structure form the point of the sovereignty. Following this we expanded our findings with studies of Anglo-Saxon authors written in the topic of sovereignty and finally we introduce the historical antecedents of the topic. We primarily focused on the external sovereignty as the decisions examined the own statehood and decision-making freedom of the Cherokee Nation. We searched two decisions from the century XIX originating from the legislation of the United States. These have been translated then analyzed at lenght emphasizing the parts referring to the sovereignty of the Cherokee Nation. The first case, the lawsuit of „The Cherokee Nation v The State of Georgia”, was in 1831. John Ross - president of the tribe – turned to the court in the name of the Cherokee nation as a sovereign power. Laws of State of Georgia against the Indians served for the reason of the litigation. The principal judge, J. Marshall recognized the independence of the tribe however their legal position was defined as „internal nation being dependent". As a consequence the Supreme Court denied justice. The second lawsuit took place in 1832, also before the Supreme Court. It was the lawsuit of „Worcester v The State of Georgia”. The judgement delivered in this matter encouraged us to choose this topic as a subject of our dissertation: despite the fact that only one year has elapsed since the judgement of „The Cherokee Nation v The State of Georgia”, the court was in total contradiction to the decision taken in 1831. In this lawsuit the sovereignty of the Cherokee Nation was acknowledged and the laws of State of Georgia were declared to be unavailable on the territory of the Cherokee Nation. However, it was stated that this decision was only applied to the present case and the tribe was still not treated as a sovereign nation. Ultimately we found that the problem of sovereignty from both legal and political point of view is a very prickly issue. At the end we compared our findings related to the sovereignty of the Cherokee Nation with similar international incidents recently occurred.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76713">
    <w:multiLevelType w:val="hybridMultilevel"/>
    <w:lvl w:ilvl="0" w:tplc="61500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76713">
    <w:abstractNumId w:val="20776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623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