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TAMÁS</w:t>
            </w:r>
          </w:p>
          <w:p w:rsidR="00C275A3" w:rsidRDefault="00A96AEC" w:rsidP="00C275A3">
            <w:pPr>
              <w:pStyle w:val="Hallgatokepzes"/>
            </w:pPr>
            <w:r>
              <w:t>lawer</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Pozsonyi</w:t>
            </w:r>
          </w:p>
          <w:p w:rsidR="00DB4822" w:rsidRDefault="00DB4822" w:rsidP="00E11062">
            <w:pPr>
              <w:pStyle w:val="Konzulensek"/>
            </w:pPr>
            <w:r w:rsidRPr="00DB4822">
              <w:t>assistant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Complicity to the delict of furtum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the essay is a question, which is regulated both in the operative and the new hungarian penal code under the title „The Perpetrators”, namely the complicity. </w:t>
      </w:r>
      <w:r>
        <w:rPr>
          <w:color w:val="000000"/>
          <w:sz w:val="24"/>
          <w:szCs w:val="24"/>
        </w:rPr>
        <w:br/>
        <w:t xml:space="preserve">None the less, the roman lawyers showed much more interest to the civil law and it’s improvement, and the most elaborated notions and legal institutions can be found here, but their results in the criminal law are important too, because the lawyers have designed the regulations which are related to the private delicts. Gaius in his insitutions, in the part which is about the furtum, gives inform about that the person who doesn’t himself commit furtum, but gives aid and advice (ope consilio) to someone other to commit it, also can be liable. If we examine We can find a lot of fragments in the Digest which are related to the liability of those, who gives aid and advice to someone other to commit furtum. If we examine closely these sources, we can recognize a lot of principles which can be found in the recent criminal law dogmatics, such as the distinction of the of the co-perpetration and complicity, the independence of the perpetrators’ liability or the additionality of of the accomplices’ acts. The roman lawyers did not compose precise definitions and and principles connected with the complicity as developed as they did with the legal institutions of the private law, buti n their era they were well-prepared about the regulating of the criminal law’s questions, and their rules show much similarity with the principles of the operative criminal law related to the accomplices, and these similarities are going to be emphasized in the essey.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32987">
    <w:multiLevelType w:val="hybridMultilevel"/>
    <w:lvl w:ilvl="0" w:tplc="52286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32987">
    <w:abstractNumId w:val="67132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115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