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CINTIA KARDOS</w:t>
            </w:r>
          </w:p>
          <w:p w:rsidR="00C275A3" w:rsidRDefault="00A96AEC" w:rsidP="00C275A3">
            <w:pPr>
              <w:pStyle w:val="Hallgatokepzes"/>
            </w:pPr>
            <w:r>
              <w:t>legal training</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Tóth Dr.</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Márton Sulyok Dr.</w:t>
            </w:r>
          </w:p>
          <w:p w:rsidR="00DB4822" w:rsidRDefault="00DB4822" w:rsidP="00E11062">
            <w:pPr>
              <w:pStyle w:val="Konzulensek"/>
            </w:pPr>
            <w:r w:rsidRPr="00DB4822">
              <w:t>professor’s assistant, SZTE ÁJK</w:t>
            </w:r>
          </w:p>
        </w:tc>
      </w:tr>
      <w:tr w:rsidR="00DB4822" w:rsidTr="00DB4822">
        <w:tc>
          <w:tcPr>
            <w:tcW w:w="9854" w:type="dxa"/>
          </w:tcPr>
          <w:p w:rsidR="00DB4822" w:rsidRPr="00DB4822" w:rsidRDefault="00DB4822" w:rsidP="004D7940">
            <w:pPr>
              <w:pStyle w:val="Konzulensek"/>
            </w:pPr>
            <w:r w:rsidRPr="00DB4822">
              <w:t>Nóra Ágnes Jakó Dr.</w:t>
            </w:r>
          </w:p>
          <w:p w:rsidR="00DB4822" w:rsidRDefault="00DB4822" w:rsidP="00E11062">
            <w:pPr>
              <w:pStyle w:val="Konzulensek"/>
            </w:pPr>
            <w:r w:rsidRPr="00DB4822">
              <w:t>graduate teaching assistant,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'Till death do us part! - The constitutional aspects of domestic violence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examines the phenomenon of domestic violence from a constitutional law point of view, with emphasis on certain fundamental rights issues. The problematic surrounding this phenomenon became current through a 2012 popular initiative and relevant legislative efforts.</w:t>
      </w:r>
    </w:p>
    <w:p>
      <w:pPr>
        <w:widowControl w:val="on"/>
        <w:pBdr/>
        <w:spacing w:before="240" w:after="240" w:line="240" w:lineRule="auto"/>
        <w:ind w:left="0" w:right="0"/>
        <w:jc w:val="left"/>
      </w:pPr>
      <w:r>
        <w:rPr>
          <w:color w:val="000000"/>
          <w:sz w:val="24"/>
          <w:szCs w:val="24"/>
        </w:rPr>
        <w:t xml:space="preserve">In my view, given the interdisciplinary nature of the topic, it is impossible to conduct the examination from one sole point of view, as it is impossible to treat the issue without taking into consideration sociological, criminological, psychological aspects and then move on to more thorough analysis.</w:t>
      </w:r>
    </w:p>
    <w:p>
      <w:pPr>
        <w:widowControl w:val="on"/>
        <w:pBdr/>
        <w:spacing w:before="240" w:after="240" w:line="240" w:lineRule="auto"/>
        <w:ind w:left="0" w:right="0"/>
        <w:jc w:val="left"/>
      </w:pPr>
      <w:r>
        <w:rPr>
          <w:color w:val="000000"/>
          <w:sz w:val="24"/>
          <w:szCs w:val="24"/>
        </w:rPr>
        <w:t xml:space="preserve">Following a clearly and fully legal assessment of the topic, my paper examines the fundamental rights relations between those involved in domestic violence, and wishes to disclose these both in relation to victim and assailant. In a separate part, I shall also dissert on the situation of children, suffering indirectly and also on the legal regulation protecting children. Having assessed the fundamental rights background, my paper deals with relevant issues of state intervention, with particular focus on the notion of family as a core unit to be protected by constitutional law and on the regulatory details thereof, based on legislation currently in effect.</w:t>
      </w:r>
    </w:p>
    <w:p>
      <w:pPr>
        <w:widowControl w:val="on"/>
        <w:pBdr/>
        <w:spacing w:before="240" w:after="240" w:line="240" w:lineRule="auto"/>
        <w:ind w:left="0" w:right="0"/>
        <w:jc w:val="left"/>
      </w:pPr>
      <w:r>
        <w:rPr>
          <w:color w:val="000000"/>
          <w:sz w:val="24"/>
          <w:szCs w:val="24"/>
        </w:rPr>
        <w:t xml:space="preserve">Besides clarifying certain dogmatic issues, it is my intention to reflect on those social facts that surfaced in relation to the popular initiative on the question. Knowing the legal background and uncovering the inside and outside conflicts helps us see, who is really in need of protection. Moreover, my de lege ferenda recommendations were supported by a significant body of international literature, studies, statistical data and cases.</w:t>
      </w:r>
    </w:p>
    <w:p>
      <w:pPr>
        <w:widowControl w:val="on"/>
        <w:pBdr/>
        <w:spacing w:before="240" w:after="240" w:line="240" w:lineRule="auto"/>
        <w:ind w:left="0" w:right="0"/>
        <w:jc w:val="left"/>
      </w:pPr>
      <w:r>
        <w:rPr>
          <w:color w:val="000000"/>
          <w:sz w:val="24"/>
          <w:szCs w:val="24"/>
        </w:rPr>
        <w:t xml:space="preserve">Besides shedding light on this heavy topic, I intend to construct and present an institutional system through prioritizing the interests of the victims that need to be protected.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84841">
    <w:multiLevelType w:val="hybridMultilevel"/>
    <w:lvl w:ilvl="0" w:tplc="893891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84841">
    <w:abstractNumId w:val="686848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4397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