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PONGÓ</w:t>
            </w:r>
          </w:p>
          <w:p w:rsidR="00C275A3" w:rsidRDefault="00A96AEC" w:rsidP="00C275A3">
            <w:pPr>
              <w:pStyle w:val="Hallgatokepzes"/>
            </w:pPr>
            <w:r>
              <w:t>Legal training</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Trócsányi Dr.</w:t>
            </w:r>
          </w:p>
          <w:p w:rsidR="00DB4822" w:rsidRDefault="00DB4822" w:rsidP="00E11062">
            <w:pPr>
              <w:pStyle w:val="Konzulensek"/>
            </w:pPr>
            <w:r w:rsidRPr="00DB4822">
              <w:t>professor, SZTE ÁJK</w:t>
            </w:r>
          </w:p>
        </w:tc>
      </w:tr>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pursuit of happiness as a constitutional value in European constitutions</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A scene of the Rocky Balboa movie lead me to investigate the pursuit of happiness. Since the basic idea arose from a feature film set in the United States, I started my research within the overseas legal system, within its constitutional documents. In analyzing sources I intended to focus on an even more interesting aspect, namely, whether this idea appears in the continental legal systems, primarily in the constitutions of EU Member States.</w:t>
      </w:r>
      <w:r>
        <w:rPr>
          <w:color w:val="000000"/>
          <w:sz w:val="24"/>
          <w:szCs w:val="24"/>
        </w:rPr>
        <w:br/>
        <w:t xml:space="preserve">Considering that the pursuit of happiness is a constitutional value and one of the three foundational pillars of the American legal system, my research primarily focused on preambles, as vehicles of constitutional values, including the ways pursuit of happiness can be incorporated therein. As the first step of my research I analyzed several sources, from the constitution of the United States and the Declaration of Independence to all the preambles of the EU27 constitutions and their catalogues of fundamental rights.</w:t>
      </w:r>
      <w:r>
        <w:rPr>
          <w:color w:val="000000"/>
          <w:sz w:val="24"/>
          <w:szCs w:val="24"/>
        </w:rPr>
        <w:br/>
        <w:t xml:space="preserve">Having read a meaningful body of law, I studied several articles and analyses intent on mapping the current standpoint of legal academia on the issue. This constitutes the theoretical basis for my paper. In the following, I created a legal reference grid in which to place my point of view in correlation with the established structures of legal theory. In constructing my hypotheses I intended to find answers to the questions of how to demarcate prosperity and happiness, whether it is possible to identify happiness with the common good, and - if yes, how to support such an identification.</w:t>
      </w:r>
      <w:r>
        <w:rPr>
          <w:color w:val="000000"/>
          <w:sz w:val="24"/>
          <w:szCs w:val="24"/>
        </w:rPr>
        <w:br/>
        <w:t xml:space="preserve">Having constructed a theoretical basis, taking into consideration the criteria created I looked again at the constitutions of the EU27, particularly at their preambles, with minor focus on the catalogues of fundamental rights. I had the opportunity to analyze the Irish, Spanish and Hungarian constitutions in detail given the necessary limitations for this paper as regards its content.</w:t>
      </w:r>
      <w:r>
        <w:rPr>
          <w:color w:val="000000"/>
          <w:sz w:val="24"/>
          <w:szCs w:val="24"/>
        </w:rPr>
        <w:br/>
        <w:t xml:space="preserve">With the analysis of these constitutions and with writing this paper I aimed at proving that the pursuit of happiness is indeed present in some of the EU27 constitutions as a hidden objective of the state; albeit, I feel that an expressis verbis incorporation of the pursuit of happiness should be necessary. I think that the most suitable vehicle to carry such a fundamental constitutional value is the preamble.</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695982">
    <w:multiLevelType w:val="hybridMultilevel"/>
    <w:lvl w:ilvl="0" w:tplc="62198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695982">
    <w:abstractNumId w:val="70695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4018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