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RÉKA SIMON</w:t>
            </w:r>
          </w:p>
          <w:p w:rsidR="00C275A3" w:rsidRDefault="00A96AEC" w:rsidP="00C275A3">
            <w:pPr>
              <w:pStyle w:val="Hallgatokepzes"/>
            </w:pPr>
            <w:r>
              <w:t>legal training</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BÉLA SZALÓKY</w:t>
            </w:r>
          </w:p>
          <w:p w:rsidR="00DB4822" w:rsidRDefault="00C275A3" w:rsidP="004D7940">
            <w:pPr>
              <w:pStyle w:val="Hallgatokepzes"/>
            </w:pPr>
            <w:r>
              <w:t>legal training</w:t>
            </w:r>
            <w:r w:rsidR="00A96AEC">
              <w:br/>
              <w:t>Unified,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Nóra Jakó Dr.</w:t>
            </w:r>
          </w:p>
          <w:p w:rsidR="00DB4822" w:rsidRDefault="00DB4822" w:rsidP="00E11062">
            <w:pPr>
              <w:pStyle w:val="Konzulensek"/>
            </w:pPr>
            <w:r w:rsidRPr="00DB4822">
              <w:t>graduate teaching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to housing in Hungary and around the world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discuss the right to housing, primarily focusing on the topic as regards Hungarian aspects, complemented with a historical and an international outlook. We intend to present a solution that would make possible to provide this right in the greatest extent possible, with particular focus on the rights of those living on the level of minimum subsistence or below, placing the right to human dignity in the foreground.</w:t>
      </w:r>
      <w:r>
        <w:rPr>
          <w:color w:val="000000"/>
          <w:sz w:val="24"/>
          <w:szCs w:val="24"/>
        </w:rPr>
        <w:br/>
        <w:t xml:space="preserve">In our investigation we wanted to provide a global picture on the issue of the right to housing and, having examined the most possible aspects, to draw up our de lege ferenda suggestions allowing for social security to be provided for those, who cannot afford decent housing.</w:t>
      </w:r>
      <w:r>
        <w:rPr>
          <w:color w:val="000000"/>
          <w:sz w:val="24"/>
          <w:szCs w:val="24"/>
        </w:rPr>
        <w:br/>
        <w:t xml:space="preserve">In our paper, we also examined European constitutions, and European case studies aiming at an overview of possible regulatory options and finding the most efficient path for the provision of the right to housing.</w:t>
      </w:r>
      <w:r>
        <w:rPr>
          <w:color w:val="000000"/>
          <w:sz w:val="24"/>
          <w:szCs w:val="24"/>
        </w:rPr>
        <w:br/>
        <w:t xml:space="preserve">The detailed presentation of the effective Hungarian regulation is an essential part of our work, along with an obvious comparison with the provisions of the Constitution, in effect until 31 December 2011. In this respect, we considered it important to emphasize the importance of the points of view expressed by the ombudsman and the Constitutional Court, having greatly influenced the development of the role of the human right presented.</w:t>
      </w:r>
      <w:r>
        <w:rPr>
          <w:color w:val="000000"/>
          <w:sz w:val="24"/>
          <w:szCs w:val="24"/>
        </w:rPr>
        <w:br/>
        <w:t xml:space="preserve">In our opinion, it is insufficient to examine the issue of the right to housing from only one aspect, given that in modern democratic societies it is to be expected that the state itself be able to provide services not only making it possible to achieve the level of minimum subsistence, but to enable the establishment of such housing conditions that preclude the underprivileged in becoming disadvantaged on the labor market, i.e. which enable access to adequate sanitary, recreational and hygienic circumstances.</w:t>
      </w:r>
      <w:r>
        <w:rPr>
          <w:color w:val="000000"/>
          <w:sz w:val="24"/>
          <w:szCs w:val="24"/>
        </w:rPr>
        <w:br/>
        <w:t xml:space="preserve">By examining the constitutional backgrounds, it became clear that in order to adequately ensure this right, it is necessary to declare it fundamental; however, in many countries, as in Hungary, it seems to be difficult to realize this under the given economic circumstances. Instead of being declared as a fundamental right, it is acknowledged as an objective of the state. In case we wish to elevate the level of protection of housing as a fundamental right,  we shall acknowledge more and more elements of social services as constitutional fundamental rights (e.g. decent nourishment, right to hygiene).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16338">
    <w:multiLevelType w:val="hybridMultilevel"/>
    <w:lvl w:ilvl="0" w:tplc="24122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16338">
    <w:abstractNumId w:val="2651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731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