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ZÁDORI</w:t>
            </w:r>
          </w:p>
          <w:p w:rsidR="00C275A3" w:rsidRDefault="00A96AEC" w:rsidP="00C275A3">
            <w:pPr>
              <w:pStyle w:val="Hallgatokepzes"/>
            </w:pPr>
            <w:r>
              <w:t>Legal training</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Harangozó Dr.</w:t>
            </w:r>
          </w:p>
          <w:p w:rsidR="00DB4822" w:rsidRDefault="00DB4822" w:rsidP="00E11062">
            <w:pPr>
              <w:pStyle w:val="Konzulensek"/>
            </w:pPr>
            <w:r w:rsidRPr="00DB4822">
              <w:t>adjunct lecturer, SZTE ÁJK</w:t>
            </w:r>
          </w:p>
        </w:tc>
      </w:tr>
      <w:tr w:rsidR="00DB4822" w:rsidTr="00DB4822">
        <w:tc>
          <w:tcPr>
            <w:tcW w:w="9854" w:type="dxa"/>
          </w:tcPr>
          <w:p w:rsidR="00DB4822" w:rsidRPr="00DB4822" w:rsidRDefault="00DB4822" w:rsidP="004D7940">
            <w:pPr>
              <w:pStyle w:val="Konzulensek"/>
            </w:pPr>
            <w:r w:rsidRPr="00DB4822">
              <w:t>Márton Sulyok Dr.</w:t>
            </w:r>
          </w:p>
          <w:p w:rsidR="00DB4822" w:rsidRDefault="00DB4822" w:rsidP="00E11062">
            <w:pPr>
              <w:pStyle w:val="Konzulensek"/>
            </w:pPr>
            <w:r w:rsidRPr="00DB4822">
              <w:t>professor's assistant, SZTE ÁJK</w:t>
            </w:r>
          </w:p>
        </w:tc>
      </w:tr>
      <w:tr w:rsidR="00DB4822" w:rsidTr="00DB4822">
        <w:tc>
          <w:tcPr>
            <w:tcW w:w="9854" w:type="dxa"/>
          </w:tcPr>
          <w:p w:rsidR="00DB4822" w:rsidRPr="00DB4822" w:rsidRDefault="00DB4822" w:rsidP="004D7940">
            <w:pPr>
              <w:pStyle w:val="Konzulensek"/>
            </w:pPr>
            <w:r w:rsidRPr="00DB4822">
              <w:t>Nóra Jakó Dr.</w:t>
            </w:r>
          </w:p>
          <w:p w:rsidR="00DB4822" w:rsidRDefault="00DB4822" w:rsidP="00E11062">
            <w:pPr>
              <w:pStyle w:val="Konzulensek"/>
            </w:pPr>
            <w:r w:rsidRPr="00DB4822">
              <w:t>graduate teaching assistant,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the internal administration of the court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intensified legislative process and the cardinal laws following from the adoption of the Fundamental Law lead to the legal rules constituting a reform of the judicial system and a new basis for the administrative activity therein. The topic is closely related to the realization of judicial independence, which reacts sensitively to whatever modification the administrative system might undergo, if it affects in significant structural and functional rules.</w:t>
      </w:r>
    </w:p>
    <w:p>
      <w:pPr>
        <w:widowControl w:val="on"/>
        <w:pBdr/>
        <w:spacing w:before="240" w:after="240" w:line="240" w:lineRule="auto"/>
        <w:ind w:left="0" w:right="0"/>
        <w:jc w:val="left"/>
      </w:pPr>
      <w:r>
        <w:rPr>
          <w:color w:val="000000"/>
          <w:sz w:val="24"/>
          <w:szCs w:val="24"/>
        </w:rPr>
        <w:t xml:space="preserve">I examined theoretical questions of judicial independence and administration as a starting point. Through the historical presentation of judicial administration we get a clear picture of how the system has changed in the few decades.</w:t>
      </w:r>
    </w:p>
    <w:p>
      <w:pPr>
        <w:widowControl w:val="on"/>
        <w:pBdr/>
        <w:spacing w:before="240" w:after="240" w:line="240" w:lineRule="auto"/>
        <w:ind w:left="0" w:right="0"/>
        <w:jc w:val="left"/>
      </w:pPr>
      <w:r>
        <w:rPr>
          <w:color w:val="000000"/>
          <w:sz w:val="24"/>
          <w:szCs w:val="24"/>
        </w:rPr>
        <w:t xml:space="preserve">The comparison of the present institutional system and that created by the 1997 reforms is central to this dissertation, which is complemented by the relevant jurisprudence of the Constitutional Court and statements, reports compiled by international organizations.</w:t>
      </w:r>
    </w:p>
    <w:p>
      <w:pPr>
        <w:widowControl w:val="on"/>
        <w:pBdr/>
        <w:spacing w:before="240" w:after="240" w:line="240" w:lineRule="auto"/>
        <w:ind w:left="0" w:right="0"/>
        <w:jc w:val="left"/>
      </w:pPr>
      <w:r>
        <w:rPr>
          <w:color w:val="000000"/>
          <w:sz w:val="24"/>
          <w:szCs w:val="24"/>
        </w:rPr>
        <w:t xml:space="preserve">We cannot disregard the presentation of internationally developed administration models in examining, presenting this topic.</w:t>
      </w:r>
    </w:p>
    <w:p>
      <w:pPr>
        <w:widowControl w:val="on"/>
        <w:pBdr/>
        <w:spacing w:before="240" w:after="240" w:line="240" w:lineRule="auto"/>
        <w:ind w:left="0" w:right="0"/>
        <w:jc w:val="left"/>
      </w:pPr>
      <w:r>
        <w:rPr>
          <w:color w:val="000000"/>
          <w:sz w:val="24"/>
          <w:szCs w:val="24"/>
        </w:rPr>
        <w:t xml:space="preserve">As a conclusion to the research it can be argued that the present system is not sufficient, there is need for change in certain areas of regulation.</w:t>
      </w:r>
    </w:p>
    <w:p>
      <w:pPr>
        <w:widowControl w:val="on"/>
        <w:pBdr/>
        <w:spacing w:before="240" w:after="240" w:line="240" w:lineRule="auto"/>
        <w:ind w:left="0" w:right="0"/>
        <w:jc w:val="left"/>
      </w:pPr>
      <w:r>
        <w:rPr>
          <w:color w:val="000000"/>
          <w:sz w:val="24"/>
          <w:szCs w:val="24"/>
        </w:rPr>
        <w:t xml:space="preserve">Eventually, the dissertation seeks to provide a possible alternative in certain aspects in de lege ferenda recommendations, which might serve the strengthening and adequate functioning of the present framework.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39811">
    <w:multiLevelType w:val="hybridMultilevel"/>
    <w:lvl w:ilvl="0" w:tplc="67252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39811">
    <w:abstractNumId w:val="669398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0507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