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GULYÁS</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professor</w:t>
            </w:r>
          </w:p>
          <w:p w:rsidR="00DB4822" w:rsidRDefault="00DB4822" w:rsidP="00E11062">
            <w:pPr>
              <w:pStyle w:val="Konzulensek"/>
            </w:pPr>
            <w:r w:rsidRPr="00DB4822">
              <w:t>professor, SZTE ÁJK</w:t>
            </w:r>
          </w:p>
        </w:tc>
      </w:tr>
      <w:tr w:rsidR="00DB4822" w:rsidTr="00DB4822">
        <w:tc>
          <w:tcPr>
            <w:tcW w:w="9854" w:type="dxa"/>
          </w:tcPr>
          <w:p w:rsidR="00DB4822" w:rsidRPr="00DB4822" w:rsidRDefault="00DB4822" w:rsidP="004D7940">
            <w:pPr>
              <w:pStyle w:val="Konzulensek"/>
            </w:pPr>
            <w:r w:rsidRPr="00DB4822">
              <w:t>professor's assistant</w:t>
            </w:r>
          </w:p>
          <w:p w:rsidR="00DB4822" w:rsidRDefault="00DB4822" w:rsidP="00E11062">
            <w:pPr>
              <w:pStyle w:val="Konzulensek"/>
            </w:pPr>
            <w:r w:rsidRPr="00DB4822">
              <w:t>professor's assistant,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Treaty of Lisbon onto subsidiarity tests of national parliaments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effect of the Treaty of Lisbon onto subsidiarity tests of national parliaments</w:t>
      </w:r>
    </w:p>
    <w:p>
      <w:pPr>
        <w:pBdr/>
        <w:spacing w:before="240" w:after="240" w:line="240" w:lineRule="auto"/>
        <w:ind w:left="0" w:right="0"/>
        <w:jc w:val="left"/>
      </w:pPr>
      <w:r>
        <w:rPr>
          <w:color w:val="000000"/>
          <w:sz w:val="24"/>
          <w:szCs w:val="24"/>
        </w:rPr>
        <w:t xml:space="preserve">„…what the individuals by their own strength and abilities can be able to achieve, it takes out of their comptence and leave it to the community is prohibited.” (Quadragesimo anno encyclical of Pope Pius XI)</w:t>
      </w:r>
    </w:p>
    <w:p>
      <w:pPr>
        <w:pBdr/>
        <w:spacing w:before="240" w:after="240" w:line="240" w:lineRule="auto"/>
        <w:ind w:left="0" w:right="0"/>
        <w:jc w:val="left"/>
      </w:pPr>
      <w:r>
        <w:rPr>
          <w:color w:val="000000"/>
          <w:sz w:val="24"/>
          <w:szCs w:val="24"/>
        </w:rPr>
        <w:t xml:space="preserve">At the selection of the topic of the essay the primary fact was that since 2009, when the Treaty of Lisbon came into force, the role of national parliaments in the european legislation has increased significantly, which is a very important method in the hands of national legislative organization. Hereby those standpoints which had seen previously a strong deficit of democracy in the European Union, by this time they are almost totally silent.</w:t>
      </w:r>
    </w:p>
    <w:p>
      <w:pPr>
        <w:pBdr/>
        <w:spacing w:before="240" w:after="240" w:line="240" w:lineRule="auto"/>
        <w:ind w:left="0" w:right="0"/>
        <w:jc w:val="left"/>
      </w:pPr>
      <w:r>
        <w:rPr>
          <w:color w:val="000000"/>
          <w:sz w:val="24"/>
          <w:szCs w:val="24"/>
        </w:rPr>
        <w:t xml:space="preserve">In the first part of my essay I emphasized the major milestones of this process, the most important steps of the procedure, starting with the appearance of the principles of subsidiarity and proportionality.</w:t>
      </w:r>
    </w:p>
    <w:p>
      <w:pPr>
        <w:pBdr/>
        <w:spacing w:before="240" w:after="240" w:line="240" w:lineRule="auto"/>
        <w:ind w:left="0" w:right="0"/>
        <w:jc w:val="left"/>
      </w:pPr>
      <w:r>
        <w:rPr>
          <w:color w:val="000000"/>
          <w:sz w:val="24"/>
          <w:szCs w:val="24"/>
        </w:rPr>
        <w:t xml:space="preserve">I tried to introduce step by step the development of that process, which one finally ended in the early warning mechanism and that process still achieve those strictly principles which laid down in the Treaty of Lisbon to limit the competence of European Union.</w:t>
      </w:r>
    </w:p>
    <w:p>
      <w:pPr>
        <w:pBdr/>
        <w:spacing w:before="240" w:after="240" w:line="240" w:lineRule="auto"/>
        <w:ind w:left="0" w:right="0"/>
        <w:jc w:val="left"/>
      </w:pPr>
      <w:r>
        <w:rPr>
          <w:color w:val="000000"/>
          <w:sz w:val="24"/>
          <w:szCs w:val="24"/>
        </w:rPr>
        <w:t xml:space="preserve">Moreover, in the theoretical unit were also presented those systems (COSAC, IPEX), which make the subsidiarity test more practical and fluent.</w:t>
      </w:r>
    </w:p>
    <w:p>
      <w:pPr>
        <w:pBdr/>
        <w:spacing w:before="240" w:after="240" w:line="240" w:lineRule="auto"/>
        <w:ind w:left="0" w:right="0"/>
        <w:jc w:val="left"/>
      </w:pPr>
      <w:r>
        <w:rPr>
          <w:color w:val="000000"/>
          <w:sz w:val="24"/>
          <w:szCs w:val="24"/>
        </w:rPr>
        <w:t xml:space="preserve">The second structural unit of the essay is focusing on the practical part of the subsidiarity test, where I have analyzed an already finished test about a Council regulation (COM/2012/0130) to explain better the earlier described procedure of subsidiarity test.</w:t>
      </w:r>
    </w:p>
    <w:p>
      <w:pPr>
        <w:pBdr/>
        <w:spacing w:before="240" w:after="240" w:line="240" w:lineRule="auto"/>
        <w:ind w:left="0" w:right="0"/>
        <w:jc w:val="left"/>
      </w:pPr>
      <w:r>
        <w:rPr>
          <w:color w:val="000000"/>
          <w:sz w:val="24"/>
          <w:szCs w:val="24"/>
        </w:rPr>
        <w:t xml:space="preserve">In this part from the opinions of the members through the published professional articles to the final report, every citation confirms the emphatic of the principle of subsidiarity, as well as the changes introduced by the Treaty of Lisbon allowed to national parliaments to make great stride to control the european legislative process.</w:t>
      </w:r>
    </w:p>
    <w:p>
      <w:pPr>
        <w:pBdr/>
        <w:spacing w:before="240" w:after="240" w:line="240" w:lineRule="auto"/>
        <w:ind w:left="0" w:right="0"/>
        <w:jc w:val="left"/>
      </w:pPr>
      <w:r>
        <w:rPr>
          <w:color w:val="000000"/>
          <w:sz w:val="24"/>
          <w:szCs w:val="24"/>
        </w:rPr>
        <w:t xml:space="preserve">During the preparation of my essay I considered it important to draw up de lege ferenda recommendation in the base of the results, thus serve a proposed solution for the mistakes of the subsidiarity test, such as duplicated penalty possibilities in the hands of national parliaments.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76381">
    <w:multiLevelType w:val="hybridMultilevel"/>
    <w:lvl w:ilvl="0" w:tplc="328111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76381">
    <w:abstractNumId w:val="740763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02202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