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KIS</w:t>
            </w:r>
          </w:p>
          <w:p w:rsidR="00C275A3" w:rsidRDefault="00A96AEC" w:rsidP="00C275A3">
            <w:pPr>
              <w:pStyle w:val="Hallgatokepzes"/>
            </w:pPr>
            <w:r>
              <w:t>Major of Law</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Józsa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Dr. Judit Siket</w:t>
            </w:r>
          </w:p>
          <w:p w:rsidR="00DB4822" w:rsidRDefault="00DB4822" w:rsidP="00E11062">
            <w:pPr>
              <w:pStyle w:val="Konzulensek"/>
            </w:pPr>
            <w:r w:rsidRPr="00DB4822">
              <w:t>junior research fellow,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Notary: in governmental and municipal conducts’ intersection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query occurs frequently: Who is the notary indeed? His role and state have unavoidable impact in the local conduct, besides that, regarding to his legal status he belongs to the municipality, however his actual function is mainly related to the local polity sphere therefore a notary has a governmental affiliation as well. According to above a notary’s roles can be split in two main tasks: on one hand –as a primary owner- to accomplish his governmental and magisterial scope, on the other hand to take distinguished responsibility in legitimation of the municipal’s behaviour. Besides the mayor, he is also responsible for the appropriate management of the resources and operation of the plenum or legal execution of the municipal authorities.</w:t>
      </w:r>
      <w:r>
        <w:rPr>
          <w:color w:val="000000"/>
          <w:sz w:val="24"/>
          <w:szCs w:val="24"/>
        </w:rPr>
        <w:br/>
        <w:t xml:space="preserve">In my thesis, I focus on the key changes of the notary’s legal status and particular scope from the adjustments in the last quarter of the 19th century until nowadays. Furthermore I pay distinguished attention to the new institutional solutions and issues if there were any. With their remarkable reforms were milestones in the Hungarian municipal command. As a result, new regulations were established about municipalities and public servants such as Act CLXXXIX of 2011 on Local Municipalities and Act CXCIX of 2011 on Public Service Officials. The former system of district offices, terminated on 1/1/1984, is going to return as of 1/1/2013 and it will reorganize the notary’s tasks and scope from the basics.</w:t>
      </w:r>
      <w:r>
        <w:rPr>
          <w:color w:val="000000"/>
          <w:sz w:val="24"/>
          <w:szCs w:val="24"/>
        </w:rPr>
        <w:br/>
        <w:t xml:space="preserve">Through my thesis I provide a historical insight to the establishment of notary instituion, the regulational background and the key milestones of its changes. There are many centralization particularities in governemental systems and also deficiencies in legal regulations of the different eras. May quandaries about filling a notary title come from those. Notaries’ function in local governmental and municipal processes was defined in the new, decentralized municipal system, when the communist regime had been changed. At the same time, uncertain points of employment and legal state had been clarified about public servant officers. Legislation of last year is a significant turn regarding to notaries’ legal state and scope –we can simply consider mayors as employers or the renessaince of district offices. I attempt to summarize all these changes, opinions and practical queries encountered so far through examples and from professional point of view.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672962">
    <w:multiLevelType w:val="hybridMultilevel"/>
    <w:lvl w:ilvl="0" w:tplc="327833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672962">
    <w:abstractNumId w:val="386729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5894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