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RENÁTA NAGY</w:t>
            </w:r>
          </w:p>
          <w:p w:rsidR="00C275A3" w:rsidRDefault="00A96AEC" w:rsidP="00C275A3">
            <w:pPr>
              <w:pStyle w:val="Hallgatokepzes"/>
            </w:pPr>
            <w:r>
              <w:t>lawyer</w:t>
            </w:r>
            <w:r>
              <w:br/>
            </w:r>
            <w:r w:rsidR="00E77B23">
              <w:t>Unified, 10.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Mezei</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Digitize or not to digitize? This is the question - Handling of copyright issues of writings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Most of us are still considering ourselves to be analogue in a more and more digital world: online libraries, virtual museums, the infinite nature of information available on the web. Life is through computers and information technology solutions and the preservations of values. But can we actually preserve our values?</w:t>
      </w:r>
    </w:p>
    <w:p>
      <w:pPr>
        <w:pBdr/>
        <w:spacing w:before="240" w:after="240" w:line="240" w:lineRule="auto"/>
        <w:ind w:left="0" w:right="0"/>
        <w:jc w:val="left"/>
      </w:pPr>
      <w:r>
        <w:rPr>
          <w:color w:val="000000"/>
          <w:sz w:val="24"/>
          <w:szCs w:val="24"/>
        </w:rPr>
        <w:t xml:space="preserve">In my thesis I am investigating the invaluable copyrights and the modules of the library law history, as well as the connection between the copyrights and the basic services of a library. Here I am going to point out its applications for printed publications where necessary and I will also look into what the obstructions and opportunities are for the digitalised documentation.</w:t>
      </w:r>
    </w:p>
    <w:p>
      <w:pPr>
        <w:pBdr/>
        <w:spacing w:before="240" w:after="240" w:line="240" w:lineRule="auto"/>
        <w:ind w:left="0" w:right="0"/>
        <w:jc w:val="left"/>
      </w:pPr>
      <w:r>
        <w:rPr>
          <w:color w:val="000000"/>
          <w:sz w:val="24"/>
          <w:szCs w:val="24"/>
        </w:rPr>
        <w:t xml:space="preserve">To demonstrate how invaluable digitalisation is of a modern library service, I will enumerate a number of projects both from Hungary and abroad, and some Hungarian constantly developing digital library services.</w:t>
      </w:r>
    </w:p>
    <w:p>
      <w:pPr>
        <w:pBdr/>
        <w:spacing w:before="240" w:after="240" w:line="240" w:lineRule="auto"/>
        <w:ind w:left="0" w:right="0"/>
        <w:jc w:val="left"/>
      </w:pPr>
      <w:r>
        <w:rPr>
          <w:color w:val="000000"/>
          <w:sz w:val="24"/>
          <w:szCs w:val="24"/>
        </w:rPr>
        <w:t xml:space="preserve">The main protected rights are written works based on copyright. I would like to move on out of the law, and I want to draw attention the challenges of digitized documents, financial-economic and IT, too. The study is an experiment which I want to proof the importance of this argument whit utilization of Hungarian and international legal documents. But these documents are maybe deficient, controversial and questionable in their instructions.</w:t>
      </w:r>
    </w:p>
    <w:p>
      <w:pPr>
        <w:pBdr/>
        <w:spacing w:before="240" w:after="240" w:line="240" w:lineRule="auto"/>
        <w:ind w:left="0" w:right="0"/>
        <w:jc w:val="left"/>
      </w:pPr>
      <w:r>
        <w:rPr>
          <w:color w:val="000000"/>
          <w:sz w:val="24"/>
          <w:szCs w:val="24"/>
        </w:rPr>
        <w:t xml:space="preserve">Is it legitimate to fit a guideline into local conditions by applying exception of an exception, breaking constraint? Is there a sense in such a regulation by law, which takes place near a high-rule exception? Could an open-service library be expected to gain its sources from the uncertain, to broaden its stock, even if there is a community-law document for it? Can one speak of saving here, if the services provided are unsafe?</w:t>
      </w:r>
    </w:p>
    <w:p>
      <w:pPr>
        <w:pBdr/>
        <w:spacing w:before="240" w:after="240" w:line="240" w:lineRule="auto"/>
        <w:ind w:left="0" w:right="0"/>
        <w:jc w:val="left"/>
      </w:pPr>
      <w:r>
        <w:rPr>
          <w:color w:val="000000"/>
          <w:sz w:val="24"/>
          <w:szCs w:val="24"/>
        </w:rPr>
        <w:t xml:space="preserve">With these and other unexpressed questions, I will show the pitfalls and shortcomings of the Hungarian digital situation together with some suggested solutions. In the end of this thesis I would like to find an answer to my main question: Is it enough, that a library-trust "bona fide" in not stealing of its contents.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946386">
    <w:multiLevelType w:val="hybridMultilevel"/>
    <w:lvl w:ilvl="0" w:tplc="231261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946386">
    <w:abstractNumId w:val="409463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0935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