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MOLNÁR</w:t>
            </w:r>
          </w:p>
          <w:p w:rsidR="00C275A3" w:rsidRDefault="00A96AEC" w:rsidP="00C275A3">
            <w:pPr>
              <w:pStyle w:val="Hallgatokepzes"/>
            </w:pPr>
            <w:r>
              <w:t>Archaeology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Fazekas</w:t>
            </w:r>
          </w:p>
          <w:p w:rsidR="00DB4822" w:rsidRDefault="00DB4822" w:rsidP="00E11062">
            <w:pPr>
              <w:pStyle w:val="Konzulensek"/>
            </w:pPr>
            <w:r w:rsidRPr="00DB4822">
              <w:t>University Assistant Lecturer, PTE BTK University of Pécs, Department of Archaeology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Pannonian stuccowork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Pannonia became a province of the roman Empire in the first century AD. The Romans brought with them a development into the whole territory, that has never been seen there before. This development can also be seen in the architecture. The public buildings, respectively the houses of the wealthy society are build with a technique, which hasn't been known before the roman reign in this region. Through the exploration of these buildings there were found numerous interior rooms with impressing decorations, like mural paintings, mosaic pavements or stucco elements. In my (research) paper I'm going to present the last decoration group, the stucco elements, that were found so far in the explorations of Pannonia.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89826">
    <w:multiLevelType w:val="hybridMultilevel"/>
    <w:lvl w:ilvl="0" w:tplc="54114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89826">
    <w:abstractNumId w:val="950898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4885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