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SEPSI</w:t>
            </w:r>
          </w:p>
          <w:p w:rsidR="00C275A3" w:rsidRDefault="00A96AEC" w:rsidP="00C275A3">
            <w:pPr>
              <w:pStyle w:val="Hallgatokepzes"/>
            </w:pPr>
            <w:r>
              <w:t>Accountancy</w:t>
            </w:r>
            <w:r>
              <w:br/>
            </w:r>
            <w:r w:rsidR="00E77B23">
              <w:t>MA, 2.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Fenyves Ph.D.</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Foreign currency and Hungarian forint based mortgage credits in the light of the exchange limit and the final repayment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Owing to the development of the consumer society the existing goods quickly become obsolete, their lifetime shorten so that the society purchase newer goods. This consumption cannot be financed by the household savings in every case, this way loans are obtained from different financial institutions.</w:t>
      </w:r>
    </w:p>
    <w:p>
      <w:pPr>
        <w:pBdr/>
        <w:spacing w:before="240" w:after="240" w:line="240" w:lineRule="auto"/>
        <w:ind w:left="0" w:right="0"/>
        <w:jc w:val="left"/>
      </w:pPr>
      <w:r>
        <w:rPr>
          <w:color w:val="000000"/>
          <w:sz w:val="24"/>
          <w:szCs w:val="24"/>
        </w:rPr>
        <w:t xml:space="preserve">A wide range of offers is available in borrowing from a credit institution nowadays. As a basis of my analysis I chose the credit facilities of a Hungarian credit institution. I analysed a Hungarian forint and two foreign currency based loans. The basic conditions of loans like the date of obtainment, loan amount, duration, disbursement, collateral, calculation of instalments, interest period, and possibility of early payments were the same to ensure the comparability. A Swiss franc and euro based foreign currency credit was compared to a Hungarian forint based loan. As the majority of debtors have taken out foreign currency-denominated loans in Swiss franc and euro, these currencies were chosen to be the basis of the examined loans.</w:t>
      </w:r>
    </w:p>
    <w:p>
      <w:pPr>
        <w:pBdr/>
        <w:spacing w:before="240" w:after="240" w:line="240" w:lineRule="auto"/>
        <w:ind w:left="0" w:right="0"/>
        <w:jc w:val="left"/>
      </w:pPr>
      <w:r>
        <w:rPr>
          <w:color w:val="000000"/>
          <w:sz w:val="24"/>
          <w:szCs w:val="24"/>
        </w:rPr>
        <w:t xml:space="preserve">The research aims at determining which type of loan and which method of borrowing was more favourable for debtors in the present economic situation in reflection of already repaid and the still unpaid part of loans. Moreover, a proposal is prepared for troubled debtors whether it’s worth accepting the opportunity of early repayment scheme or exchange limit. I analysed the effect of the exchange rate changes to the instalments, the unpaid loan, and the already repaid amount. My results were based on the data calculated between 1st of July 2005 and 1st of October 2012.</w:t>
      </w:r>
    </w:p>
    <w:p>
      <w:pPr>
        <w:pBdr/>
        <w:spacing w:before="240" w:after="240" w:line="240" w:lineRule="auto"/>
        <w:ind w:left="0" w:right="0"/>
        <w:jc w:val="left"/>
      </w:pPr>
      <w:r>
        <w:rPr>
          <w:color w:val="000000"/>
          <w:sz w:val="24"/>
          <w:szCs w:val="24"/>
        </w:rPr>
        <w:t xml:space="preserve">As opposed to the steadiness nature of forint based loans, foreign currency loans offer more favourable conditions and variability. It is clear that the initially most favourable Swiss franc based credit became the most expensive credit of all due to the volatility of exchange currency. The costs of the euro based loan turned out to be lower than both the Swiss franc based and the Hungarian forint based ones. The opportunity offered by the government should be taken if there is only a transition repayment problem and a better financial situation is assured in the debtor’s future. The early repayment scheme proved to be the best solution to redeem the foreign currency based credits, if it was financed from the debtors own savings and not from a new, even more expensive forint based loan.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43128">
    <w:multiLevelType w:val="hybridMultilevel"/>
    <w:lvl w:ilvl="0" w:tplc="63244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43128">
    <w:abstractNumId w:val="78043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239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