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KISS</w:t>
            </w:r>
          </w:p>
          <w:p w:rsidR="00C275A3" w:rsidRDefault="00A96AEC" w:rsidP="00C275A3">
            <w:pPr>
              <w:pStyle w:val="Hallgatokepzes"/>
            </w:pPr>
            <w:r>
              <w:t>Accountancy</w:t>
            </w:r>
            <w:r>
              <w:br/>
            </w:r>
            <w:r w:rsidR="00E77B23">
              <w:t>MA,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Ferenc Kondorosi Ph.D.</w:t>
            </w:r>
          </w:p>
          <w:p w:rsidR="00DB4822" w:rsidRDefault="00DB4822" w:rsidP="00E11062">
            <w:pPr>
              <w:pStyle w:val="Konzulensek"/>
            </w:pPr>
            <w:r w:rsidRPr="00DB4822">
              <w:t>associate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valuing financial instruments on real value of corporations listed stock exchange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objective of the accounting system is to give true and fair view of the assets and liabilities, financial and earnings position of the holdings to provide information for internal and external users. In Hungary, the Act C of 2000 on accounting governs it. The national accounting regulation is classically based on the application of historical costs; however, the accounting application of the fair value is not a new demand. In compliance with the EU directives, the national accounting regulation enforced the assessment option of the specified range of financial instruments at fair value from 1 January 2004. In parallel with this the requirement for completing the consolidated annual report by international standards (IFRSs) was introduced for the listed companies.</w:t>
      </w:r>
    </w:p>
    <w:p>
      <w:pPr>
        <w:pBdr/>
        <w:spacing w:before="240" w:after="240" w:line="240" w:lineRule="auto"/>
        <w:ind w:left="0" w:right="0"/>
        <w:jc w:val="left"/>
      </w:pPr>
      <w:r>
        <w:rPr>
          <w:color w:val="000000"/>
          <w:sz w:val="24"/>
          <w:szCs w:val="24"/>
        </w:rPr>
        <w:t xml:space="preserve">In the theoretical chapters of my thesis, I presented the background of fair value valuation of financial instruments, as an opportunity to give true and fair view. Then, through primary research, individual and consolidated annual reports of listed companies located in Hungary were analysed in present paper.</w:t>
      </w:r>
    </w:p>
    <w:p>
      <w:pPr>
        <w:pBdr/>
        <w:spacing w:before="240" w:after="240" w:line="240" w:lineRule="auto"/>
        <w:ind w:left="0" w:right="0"/>
        <w:jc w:val="left"/>
      </w:pPr>
      <w:r>
        <w:rPr>
          <w:color w:val="000000"/>
          <w:sz w:val="24"/>
          <w:szCs w:val="24"/>
        </w:rPr>
        <w:t xml:space="preserve">The primary objective of this paper is to answer the following questions: To what extent do the companies apply fair value assessment in their individual annual report and consolidated report composed by international standards? How does the assessment influence on the result? How does the assessment change the composition of the property?</w:t>
      </w:r>
    </w:p>
    <w:p>
      <w:pPr>
        <w:pBdr/>
        <w:spacing w:before="240" w:after="240" w:line="240" w:lineRule="auto"/>
        <w:ind w:left="0" w:right="0"/>
        <w:jc w:val="left"/>
      </w:pPr>
      <w:r>
        <w:rPr>
          <w:color w:val="000000"/>
          <w:sz w:val="24"/>
          <w:szCs w:val="24"/>
        </w:rPr>
        <w:t xml:space="preserve">I focused on the valuation at fair value of financial instruments of the Hungarian Oiland Gas Public Limited Company, which is one of the largest corporations on the Hungarian Stock Exchange. Among other things, I analysed the revaluation reserve in the balance sheet - which connects to the valuation at fair value-, the effect of fair value valuation on the profit or loss, and the effects on a specific derivative financial liability (conversion option).</w:t>
      </w:r>
    </w:p>
    <w:p>
      <w:pPr>
        <w:pBdr/>
        <w:spacing w:before="240" w:after="240" w:line="240" w:lineRule="auto"/>
        <w:ind w:left="0" w:right="0"/>
        <w:jc w:val="left"/>
      </w:pPr>
      <w:r>
        <w:rPr>
          <w:color w:val="000000"/>
          <w:sz w:val="24"/>
          <w:szCs w:val="24"/>
        </w:rPr>
        <w:t xml:space="preserve">I was led to the conclusion that in national practice the fair value assessment of financial instruments is immature and in many cases based on estimations. However, as a consequence of its profit or loss effect it has a significant effect on the judgement of the business performance. Consequently, in the near future it deserves significant attention both in the field of practical application and auditing.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10178">
    <w:multiLevelType w:val="hybridMultilevel"/>
    <w:lvl w:ilvl="0" w:tplc="92514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10178">
    <w:abstractNumId w:val="603101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461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