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VIOLA AJTAY-HORVÁTH</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Kollonay-Lehoczky</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Quo vadis right to strike? - Ideas about minimum provision of essential services</w:t>
      </w:r>
    </w:p>
    <w:p w:rsidR="00D71DF5" w:rsidRDefault="00D71DF5" w:rsidP="00AD2602">
      <w:pPr>
        <w:jc w:val="both"/>
      </w:pPr>
    </w:p>
    <w:p>
      <w:pPr>
        <w:pBdr/>
        <w:spacing w:before="240" w:after="240" w:line="240" w:lineRule="auto"/>
        <w:ind w:left="0" w:right="0"/>
        <w:jc w:val="left"/>
      </w:pPr>
      <w:r>
        <w:rPr>
          <w:color w:val="000000"/>
          <w:sz w:val="24"/>
          <w:szCs w:val="24"/>
        </w:rPr>
        <w:t xml:space="preserve">In December 2010 the first significand amendment of the Strike Law nr. VII of 1989 became in force, which detailed and restricted the measures and conditions of the minimal level of essential services provided by employers providing public supply needs during strikes.</w:t>
      </w:r>
    </w:p>
    <w:p>
      <w:pPr>
        <w:pBdr/>
        <w:spacing w:before="240" w:after="240" w:line="240" w:lineRule="auto"/>
        <w:ind w:left="0" w:right="0"/>
        <w:jc w:val="left"/>
      </w:pPr>
      <w:r>
        <w:rPr>
          <w:color w:val="000000"/>
          <w:sz w:val="24"/>
          <w:szCs w:val="24"/>
        </w:rPr>
        <w:t xml:space="preserve">Due to the absence of legal regulations and the lack of agreement between the parties concerned, the law provider entrusted the Court of Labour to establish the measure and conditions of the minimum public services ensured during the strike actions.</w:t>
      </w:r>
      <w:r>
        <w:rPr>
          <w:color w:val="000000"/>
          <w:sz w:val="24"/>
          <w:szCs w:val="24"/>
        </w:rPr>
        <w:br/>
        <w:t xml:space="preserve">However, little has been said so far about what trends are indicated by the related judging practices.</w:t>
      </w:r>
    </w:p>
    <w:p>
      <w:pPr>
        <w:pBdr/>
        <w:spacing w:before="240" w:after="240" w:line="240" w:lineRule="auto"/>
        <w:ind w:left="0" w:right="0"/>
        <w:jc w:val="left"/>
      </w:pPr>
      <w:r>
        <w:rPr>
          <w:color w:val="000000"/>
          <w:sz w:val="24"/>
          <w:szCs w:val="24"/>
        </w:rPr>
        <w:t xml:space="preserve">The present paper investigates the possibilities of the limitation of the right to stike based on the documents and the case law of ILO, the European Social Charter, as well as on the relevant decisions of the Constitution Courts.</w:t>
      </w:r>
      <w:r>
        <w:rPr>
          <w:color w:val="000000"/>
          <w:sz w:val="24"/>
          <w:szCs w:val="24"/>
        </w:rPr>
        <w:br/>
        <w:t xml:space="preserve">The present analysis treats those features which, based on regulation modells, surround the ensurance of those minimum level of public services along which the labour marked pressure can still be practised. Critically assessing the legal practices before and after the amendment, the paper shows that it was justified to introduce the amendments in the law, however, along with it the strike law became meaningless.</w:t>
      </w:r>
    </w:p>
    <w:p>
      <w:pPr>
        <w:pBdr/>
        <w:spacing w:before="240" w:after="240" w:line="240" w:lineRule="auto"/>
        <w:ind w:left="0" w:right="0"/>
        <w:jc w:val="left"/>
      </w:pPr>
      <w:r>
        <w:rPr>
          <w:color w:val="000000"/>
          <w:sz w:val="24"/>
          <w:szCs w:val="24"/>
        </w:rPr>
        <w:t xml:space="preserve">Based on court judgements and on the existing regulations regarding public transport and my own experience gained in the Court of Labour respectively, it can be conluded that the failures in initiating stikes is rooted in the concept of this new regulation. The need of the compulsory judging process, owing to its characteristics, is not adequate to judge differences of collective interest in labour issues. Compared to international expectations, the Hungarian system of the right to strike does not comply with international standards.</w:t>
      </w:r>
      <w:r>
        <w:rPr>
          <w:color w:val="000000"/>
          <w:sz w:val="24"/>
          <w:szCs w:val="24"/>
        </w:rPr>
        <w:br/>
        <w:t xml:space="preserve">In order to solve the difficulties emerging in judging process, considering the interational demands, I outlined suggestions which would serve a threefold goal: they would be suitable to determine the conditions of the minimum level of public services along with ensuring wider possiblilities for the right to strike, and also, to comply with the international standards.</w:t>
      </w:r>
    </w:p>
    <w:p>
      <w:pPr>
        <w:pBdr/>
        <w:spacing w:before="240" w:after="240" w:line="240" w:lineRule="auto"/>
        <w:ind w:left="0" w:right="0"/>
        <w:jc w:val="left"/>
      </w:pPr>
      <w:r>
        <w:rPr>
          <w:color w:val="000000"/>
          <w:sz w:val="24"/>
          <w:szCs w:val="24"/>
        </w:rPr>
        <w:t xml:space="preserve">The paper suggests that, with a view to the new Labour Code as well, proper considerations should be given to devise such a model of the strike right which, on the one hand, would maintain the pressure power of he protest acts, on the other, would satisfy both theoretical expectations and serve practical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24973">
    <w:multiLevelType w:val="hybridMultilevel"/>
    <w:lvl w:ilvl="0" w:tplc="22774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24973">
    <w:abstractNumId w:val="705249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1125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