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GYURIS</w:t>
            </w:r>
          </w:p>
          <w:p w:rsidR="00C275A3" w:rsidRDefault="00A96AEC" w:rsidP="00C275A3">
            <w:pPr>
              <w:pStyle w:val="Hallgatokepzes"/>
            </w:pPr>
            <w:r>
              <w:t>MA in English</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Friedrich</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Games of Gender and Power in J. M. Coetzee’s Fiction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both"/>
      </w:pPr>
      <w:r>
        <w:rPr>
          <w:rFonts w:ascii="times new roman" w:hAnsi="times new roman" w:cs="times new roman"/>
          <w:color w:val="000000"/>
          <w:sz w:val="24"/>
          <w:szCs w:val="24"/>
        </w:rPr>
        <w:t xml:space="preserve">In this paper I investigate the transition from the colonial to the postcolonial world and the implications of this shift, based on two novels by J. M. Coetzee. The colonial age can be best defined as the historically patriarchal world where culturally bound and rigid organisations dominate, especially the male-female, victim-perpetrator and coloniser-colonised dichotomies. On the other hand, the postcolonial is defined in this paper as the period that is dominated by the reversal of these pre-given roles and the conflicts originating thereof. I focus on two of Coetzee’s novels, </w:t>
      </w:r>
      <w:r>
        <w:rPr>
          <w:rFonts w:ascii="times new roman" w:hAnsi="times new roman" w:cs="times new roman"/>
          <w:i/>
          <w:color w:val="000000"/>
          <w:sz w:val="24"/>
          <w:szCs w:val="24"/>
        </w:rPr>
        <w:t xml:space="preserve">Waiting for the Barbarians</w:t>
      </w:r>
      <w:r>
        <w:rPr>
          <w:rFonts w:ascii="times new roman" w:hAnsi="times new roman" w:cs="times new roman"/>
          <w:color w:val="000000"/>
          <w:sz w:val="24"/>
          <w:szCs w:val="24"/>
        </w:rPr>
        <w:t xml:space="preserve"> (1980) and </w:t>
      </w:r>
      <w:r>
        <w:rPr>
          <w:rFonts w:ascii="times new roman" w:hAnsi="times new roman" w:cs="times new roman"/>
          <w:i/>
          <w:color w:val="000000"/>
          <w:sz w:val="24"/>
          <w:szCs w:val="24"/>
        </w:rPr>
        <w:t xml:space="preserve">Disgrace </w:t>
      </w:r>
      <w:r>
        <w:rPr>
          <w:rFonts w:ascii="times new roman" w:hAnsi="times new roman" w:cs="times new roman"/>
          <w:color w:val="000000"/>
          <w:sz w:val="24"/>
          <w:szCs w:val="24"/>
        </w:rPr>
        <w:t xml:space="preserve">(1999) which are centred precisely on the subversion of these roles and discuss the possibilities and limitations of entering the postcolonial. The paper is divided into two major parts; the first deals with the various manifestations of the colonial age, which are primarily built on the hierarchy among characters and the representations of traditional male-female relations. However, Coetzee’s subtle irony indicates that a change is due to come in this world, which is perhaps already doomed to failure. In the second part, I examine the entry into the postcolonial age and will argue that this phenomenon can be best interpreted through two main motifs: through the changes in language and through the process of becoming animal. Interestingly, these motifs are not only dominant in the two novels that the paper deals with but in Coetzee’s entire œuvre, thus, it seems well-founded to draw more general conclusions on the very nature of this postcolonial shift as well. Furthermore, the emphatic role of language and communication also allows for a Lévinasien reading, which, based on the difference between the saying and the said, tries to grasp and interpret the entry into the postcolonial from an ethical point of view. Thus, the paper will deal with the conflicts originating from this change and arrives at the conclusion that the opposing dénouement of the two novels shows the very much present problem of the postcolonial through two very different but equally valid lenses.</w:t>
      </w:r>
    </w:p>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83252">
    <w:multiLevelType w:val="hybridMultilevel"/>
    <w:lvl w:ilvl="0" w:tplc="621616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83252">
    <w:abstractNumId w:val="163832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60637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