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KORMANYOS</w:t>
            </w:r>
          </w:p>
          <w:p w:rsidR="00C275A3" w:rsidRDefault="00A96AEC" w:rsidP="00C275A3">
            <w:pPr>
              <w:pStyle w:val="Hallgatokepzes"/>
            </w:pPr>
            <w:r>
              <w:t>jurisprudent</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Hack</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institution of the criminal charge in the criminal procedure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In my thesis after a short legal–dogmatic introduction, I will examine the development of the concept of criminal charge in hungarian legal literature. Then I examine the effective regulation and its history addressing the requirements of both content and form of legal charge. In my opinion however, the requirement of legality is not limited to just the text of the legislation and examination of closely related requirements. The rules enshrined in the second paragraph of the hungarian criminal procedure statute are the minimum requirements of form and content of a broader set of rules. The requirement of legality which is in the statute generates further procedural and organizational issues.</w:t>
      </w:r>
    </w:p>
    <w:p>
      <w:pPr>
        <w:pBdr/>
        <w:spacing w:before="240" w:after="240" w:line="240" w:lineRule="auto"/>
        <w:ind w:left="0" w:right="0"/>
        <w:jc w:val="left"/>
      </w:pPr>
      <w:r>
        <w:rPr>
          <w:color w:val="000000"/>
          <w:sz w:val="24"/>
          <w:szCs w:val="24"/>
        </w:rPr>
        <w:t xml:space="preserve">During the study of organizational issues we have to separate the general and the procedural legality of the criminal charge. Here I deal only with the former legality. I examine those rules which regulate the issues of the prosecution service as a hierarchical organization and the legality and the independence as an immanent element of legality. In this part I want to present those legal guarantees which ensure or not the independence. Under independence I mean that the legislature seeks to reduce to the minimum the risk that the prosecutor’s accusation can be manipulated to become illegal by the prosecutor himself or by his principal. I am dealing with the positive and the negative side of manipulation. I briefly examine the current legal policy initiatives, which aim at acceleration of the criminal procedure and affect directly the accusation in “emphasized” criminal cases. Because if we ask the question: could the legislature create such rules that can efface personal bias, passion and malice? I would say no.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09501">
    <w:multiLevelType w:val="hybridMultilevel"/>
    <w:lvl w:ilvl="0" w:tplc="69445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09501">
    <w:abstractNumId w:val="63509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840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