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STANISZEWSKI ORSOLYA</w:t>
            </w:r>
          </w:p>
          <w:p w:rsidR="00C275A3" w:rsidRDefault="00A96AEC" w:rsidP="00C275A3">
            <w:pPr>
              <w:pStyle w:val="Hallgatokepzes"/>
            </w:pPr>
            <w:r>
              <w:t>Jogász</w:t>
            </w:r>
            <w:r>
              <w:br/>
            </w:r>
            <w:r w:rsidR="00E77B23">
              <w:t>Osztatlan, 11.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Hack Péter</w:t>
            </w:r>
          </w:p>
          <w:p w:rsidR="00DB4822" w:rsidRDefault="00DB4822" w:rsidP="00E11062">
            <w:pPr>
              <w:pStyle w:val="Konzulensek"/>
            </w:pPr>
            <w:r w:rsidRPr="00DB4822">
              <w:t>hab.e. docens,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kartelljog kriminalizációja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eljárásjogi szempontból közelíti meg a kartelljog kriminalizációját. A célom az volt, hogy megvizsgáljam, a közigazgatási hatósági eljárások és a büntetőeljárás sajátosságait figyelembe véve vélelmezhető-e, hogy a kriminalizáció elősegítené a kartelljogi szabályozás hatékonyabb érvényre juttatását vagy esetleg éppen ennek az ellenkezője látszik valószínűnek.</w:t>
      </w:r>
    </w:p>
    <w:p>
      <w:pPr>
        <w:pBdr/>
        <w:spacing w:before="240" w:after="240" w:line="240" w:lineRule="auto"/>
        <w:ind w:left="0" w:right="0"/>
        <w:jc w:val="left"/>
      </w:pPr>
      <w:r>
        <w:rPr>
          <w:color w:val="000000"/>
          <w:sz w:val="24"/>
          <w:szCs w:val="24"/>
        </w:rPr>
        <w:t xml:space="preserve">Először is röviden ismertettem a kriminalizáció mellett felhozható legfontosabb érvet, miszerint a vállalkozásokra kiszabott bírságok és a szabadságvesztés egyéb alternatívái nem alkalmasak a kartellek visszaszorítására.</w:t>
      </w:r>
    </w:p>
    <w:p>
      <w:pPr>
        <w:pBdr/>
        <w:spacing w:before="240" w:after="240" w:line="240" w:lineRule="auto"/>
        <w:ind w:left="0" w:right="0"/>
        <w:jc w:val="left"/>
      </w:pPr>
      <w:r>
        <w:rPr>
          <w:color w:val="000000"/>
          <w:sz w:val="24"/>
          <w:szCs w:val="24"/>
        </w:rPr>
        <w:t xml:space="preserve">Ez után tértem rá a kriminalizáció eljárásjogi vonatkozásainak elemzésére. Alapvetően három kérdésre koncentráltam. Először összevetettem a tisztességes eljárást biztosítani hivatott garanciarendszert a versenyfelügyeleti eljárásban és a büntetőeljárásban. Megvizsgáltam, hogy az Emberi Jogok Európai Bírósága értelmezésében büntetőeljárásnak minősülnek-e a versenyfelügyeleti eljárások, majd a tisztességes eljárás néhány konkrét elemének (funkciómegosztás, jogorvoslat, ártatlanság vélelme, önvádra kötelezés tilalma) érvényre jutásával foglalkoztam. Megállapítottam, hogy a versenyfelügyeleti eljárás garanciarendszere sokat közeledett ugyan a büntetőeljáráséhoz, teljesen azonban nem érte el azt.</w:t>
      </w:r>
    </w:p>
    <w:p>
      <w:pPr>
        <w:pBdr/>
        <w:spacing w:before="240" w:after="240" w:line="240" w:lineRule="auto"/>
        <w:ind w:left="0" w:right="0"/>
        <w:jc w:val="left"/>
      </w:pPr>
      <w:r>
        <w:rPr>
          <w:color w:val="000000"/>
          <w:sz w:val="24"/>
          <w:szCs w:val="24"/>
        </w:rPr>
        <w:t xml:space="preserve">Másodszor azt elemeztem, hogy milyen nehézségeket vet fel, ha ugyanazon ügyben több típusú eljárás (büntetőeljárás, tagállami vagy uniós versenyfelügyeleti eljárás, esetleg egy polgári jogi eljárás) folyik egyszerre, amelyek ugyanakkor az eljárás alanyának nem ugyanolyan szintű védelmet biztosítanak.</w:t>
      </w:r>
    </w:p>
    <w:p>
      <w:pPr>
        <w:pBdr/>
        <w:spacing w:before="240" w:after="240" w:line="240" w:lineRule="auto"/>
        <w:ind w:left="0" w:right="0"/>
        <w:jc w:val="left"/>
      </w:pPr>
      <w:r>
        <w:rPr>
          <w:color w:val="000000"/>
          <w:sz w:val="24"/>
          <w:szCs w:val="24"/>
        </w:rPr>
        <w:t xml:space="preserve">Harmadszor vizsgáltam a kérdés nemzetközi dimenzióit. Mivel a verseny nem ismer országhatárokat, egy a hazai piacra kiható kartellnek nem feltétlenül vannak hazai tagjai, és nem is feltétlenül tart belföldön üléseket. Ilyen körülmények között különös jelentősége van, hogy a kriminalizáció segítené-e a döcögő együttműködést az államok közt.</w:t>
      </w:r>
    </w:p>
    <w:p>
      <w:pPr>
        <w:pBdr/>
        <w:spacing w:before="240" w:after="240" w:line="240" w:lineRule="auto"/>
        <w:ind w:left="0" w:right="0"/>
        <w:jc w:val="left"/>
      </w:pPr>
      <w:r>
        <w:rPr>
          <w:color w:val="000000"/>
          <w:sz w:val="24"/>
          <w:szCs w:val="24"/>
        </w:rPr>
        <w:t xml:space="preserve">A dolgozat konklúziója szerint a kriminalizáció az alternatív megoldások alkalmatlansága miatt szükséges, sok problémát vet azonban fel, és így sikere messze nem garantált. Végül megkíséreltem összefoglalni, hogy mire van szükség a sikeres kriminalizációhoz.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99226">
    <w:multiLevelType w:val="hybridMultilevel"/>
    <w:lvl w:ilvl="0" w:tplc="45990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99226">
    <w:abstractNumId w:val="35199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823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