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STANISZEWSKI</w:t>
            </w:r>
          </w:p>
          <w:p w:rsidR="00C275A3" w:rsidRDefault="00A96AEC" w:rsidP="00C275A3">
            <w:pPr>
              <w:pStyle w:val="Hallgatokepzes"/>
            </w:pPr>
            <w:r>
              <w:t>Law</w:t>
            </w:r>
            <w:r>
              <w:br/>
            </w:r>
            <w:r w:rsidR="00E77B23">
              <w:t>Unified, 11.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Hack</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Certain procedural questions relating to the criminalization of cartel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approaches the criminalization of cartel conduct from a procedural standpoint. My intent was to examine whether, in view of the specificities of administrative and criminal procedures, it is reasonable to assume that criminalization would facilitate the effective enforcement of cartel law, or if the opposite seems more probable.</w:t>
      </w:r>
    </w:p>
    <w:p>
      <w:pPr>
        <w:pBdr/>
        <w:spacing w:before="240" w:after="240" w:line="240" w:lineRule="auto"/>
        <w:ind w:left="0" w:right="0"/>
        <w:jc w:val="left"/>
      </w:pPr>
      <w:r>
        <w:rPr>
          <w:color w:val="000000"/>
          <w:sz w:val="24"/>
          <w:szCs w:val="24"/>
        </w:rPr>
        <w:t xml:space="preserve">Firstly, I outlined the most potent argument in favour of criminalization, namely that fines and other alternatives to imprisonment are incapable of deterring cartel activity.</w:t>
      </w:r>
    </w:p>
    <w:p>
      <w:pPr>
        <w:pBdr/>
        <w:spacing w:before="240" w:after="240" w:line="240" w:lineRule="auto"/>
        <w:ind w:left="0" w:right="0"/>
        <w:jc w:val="left"/>
      </w:pPr>
      <w:r>
        <w:rPr>
          <w:color w:val="000000"/>
          <w:sz w:val="24"/>
          <w:szCs w:val="24"/>
        </w:rPr>
        <w:t xml:space="preserve">Turning to the analysis of the procedural issues surrounding criminalization, I concentrated chiefly on the following points. To begin with, I compared the procedural safeguards which ensure due process in anti-trust and criminal procedures, respectively. I examined first whether anti-trust law may be qualified as criminal within the meaning of the European Convention on Human Rights, then certain specific elements of due process (separation of functions, redress, presumption of innocence, right against self-incrimination). I concluded that while the procedural safeguards of anti-trust procedures have approached those of criminal procedures, they have not yet reached them completely.</w:t>
      </w:r>
    </w:p>
    <w:p>
      <w:pPr>
        <w:pBdr/>
        <w:spacing w:before="240" w:after="240" w:line="240" w:lineRule="auto"/>
        <w:ind w:left="0" w:right="0"/>
        <w:jc w:val="left"/>
      </w:pPr>
      <w:r>
        <w:rPr>
          <w:color w:val="000000"/>
          <w:sz w:val="24"/>
          <w:szCs w:val="24"/>
        </w:rPr>
        <w:t xml:space="preserve">Secondly, I analysed the difficulties inherent in conducting simultaneous procedures (criminal, administrative (European or national) and civil) which confer different rights on the subject of the procedure.</w:t>
      </w:r>
    </w:p>
    <w:p>
      <w:pPr>
        <w:pBdr/>
        <w:spacing w:before="240" w:after="240" w:line="240" w:lineRule="auto"/>
        <w:ind w:left="0" w:right="0"/>
        <w:jc w:val="left"/>
      </w:pPr>
      <w:r>
        <w:rPr>
          <w:color w:val="000000"/>
          <w:sz w:val="24"/>
          <w:szCs w:val="24"/>
        </w:rPr>
        <w:t xml:space="preserve">Thirdly, I examined the international dimensions of the issue. As competition knows no frontiers, a cartel which affects the domestic market will not necessarily have domestic participants or hold meetings within the state’s borders. Under such circumstances it is of prime importance whether criminalization would further international cooperation.</w:t>
      </w:r>
    </w:p>
    <w:p>
      <w:pPr>
        <w:pBdr/>
        <w:spacing w:before="240" w:after="240" w:line="240" w:lineRule="auto"/>
        <w:ind w:left="0" w:right="0"/>
        <w:jc w:val="left"/>
      </w:pPr>
      <w:r>
        <w:rPr>
          <w:color w:val="000000"/>
          <w:sz w:val="24"/>
          <w:szCs w:val="24"/>
        </w:rPr>
        <w:t xml:space="preserve">According to the paper’s conclusion, criminalization is made necessary by the inadequacy of alternative solutions, but nevertheless poses a number of challenges and as such its success is not guaranteed. Finally, I have attempted to summarise the requirements which must be met in order for criminalization to be successful.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95220">
    <w:multiLevelType w:val="hybridMultilevel"/>
    <w:lvl w:ilvl="0" w:tplc="60468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95220">
    <w:abstractNumId w:val="49995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147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