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TÜNDE SZÉPHELYI</w:t>
            </w:r>
          </w:p>
          <w:p w:rsidR="00C275A3" w:rsidRDefault="00A96AEC" w:rsidP="00C275A3">
            <w:pPr>
              <w:pStyle w:val="Hallgatokepzes"/>
            </w:pPr>
            <w:r>
              <w:t>Applied stage and costume design </w:t>
            </w:r>
            <w:r>
              <w:br/>
            </w:r>
            <w:r w:rsidR="00E77B23">
              <w:t>BA, 5.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Zoltán Lőrincz</w:t>
            </w:r>
          </w:p>
          <w:p w:rsidR="00DB4822" w:rsidRDefault="00DB4822" w:rsidP="00E11062">
            <w:pPr>
              <w:pStyle w:val="Konzulensek"/>
            </w:pPr>
            <w:r w:rsidRPr="00DB4822">
              <w:t>proffessor,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Holy spirit in holy face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was looking for the answer to how the creators of artistic depictions of the Christian (Catholic) saints displayed those personal, unique characteristics and features that made them saints. My main question was whether the „holy spirit” can be made visible, or what the Catholic Church regards to be holy and how artists interpreted this.</w:t>
      </w:r>
    </w:p>
    <w:p>
      <w:pPr>
        <w:widowControl w:val="on"/>
        <w:pBdr/>
        <w:spacing w:before="240" w:after="240" w:line="240" w:lineRule="auto"/>
        <w:ind w:left="0" w:right="0"/>
        <w:jc w:val="left"/>
      </w:pPr>
      <w:r>
        <w:rPr>
          <w:color w:val="000000"/>
          <w:sz w:val="24"/>
          <w:szCs w:val="24"/>
        </w:rPr>
        <w:t xml:space="preserve">To narrow down the analysis I chose female saints, and of those I picked two Doctors of the Church: Saint Catherine of Siena and Saint Theresa of Avila, on the one hand because their deeds are known in history, their writings and their contemporaries’ writings about them have survived to our time, and on the other hand, because the Church considers them in an exceptional respect due to their work.</w:t>
      </w:r>
    </w:p>
    <w:p>
      <w:pPr>
        <w:widowControl w:val="on"/>
        <w:pBdr/>
        <w:spacing w:before="240" w:after="240" w:line="240" w:lineRule="auto"/>
        <w:ind w:left="0" w:right="0"/>
        <w:jc w:val="left"/>
      </w:pPr>
      <w:r>
        <w:rPr>
          <w:color w:val="000000"/>
          <w:sz w:val="24"/>
          <w:szCs w:val="24"/>
        </w:rPr>
        <w:t xml:space="preserve">Based on the accepted rules of the mystic writer, Dionysius the Areopagite, I followed the road to sanctification (purification, illumination, mystic union) in the life of the above-mentioned saints according to sources from their times. My intention was to understand and gather their personal traits, characters, motivations and ambitions with the help of modern psychology as well.</w:t>
      </w:r>
    </w:p>
    <w:p>
      <w:pPr>
        <w:widowControl w:val="on"/>
        <w:pBdr/>
        <w:spacing w:before="240" w:after="240" w:line="240" w:lineRule="auto"/>
        <w:ind w:left="0" w:right="0"/>
        <w:jc w:val="left"/>
      </w:pPr>
      <w:r>
        <w:rPr>
          <w:color w:val="000000"/>
          <w:sz w:val="24"/>
          <w:szCs w:val="24"/>
        </w:rPr>
        <w:t xml:space="preserve">I examined the artistic portrayals of these saints in works of art from different ages, highlighting the facial expressions, gestures which make their „souls” visible, and I was seeking those shared features by which they were regarded and become saints.</w:t>
      </w:r>
    </w:p>
    <w:p>
      <w:pPr>
        <w:widowControl w:val="on"/>
        <w:pBdr/>
        <w:spacing w:before="240" w:after="240" w:line="240" w:lineRule="auto"/>
        <w:ind w:left="0" w:right="0"/>
        <w:jc w:val="left"/>
      </w:pPr>
      <w:r>
        <w:rPr>
          <w:color w:val="000000"/>
          <w:sz w:val="24"/>
          <w:szCs w:val="24"/>
        </w:rPr>
        <w:t xml:space="preserve">Generally it can be said that in different historic times the artists put emphasis on different features, and in accordance with the ideology, taste and expectations of that particular age stressed the (hypothetical) characteristics of the saints. A common element is that they all deemed it very important to show the beauty and youngness of both saints as an external mark of the clear, perfect spirit.</w:t>
      </w:r>
    </w:p>
    <w:p>
      <w:pPr>
        <w:widowControl w:val="on"/>
        <w:pBdr/>
        <w:spacing w:before="240" w:after="240" w:line="240" w:lineRule="auto"/>
        <w:ind w:left="0" w:right="0"/>
        <w:jc w:val="left"/>
      </w:pPr>
      <w:r>
        <w:rPr>
          <w:color w:val="000000"/>
          <w:sz w:val="24"/>
          <w:szCs w:val="24"/>
        </w:rPr>
        <w:t xml:space="preserve">The talent of the artists is also reflected on the validity of appearance, whether they where able to grasp the prominent, human features of these saints.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99246">
    <w:multiLevelType w:val="hybridMultilevel"/>
    <w:lvl w:ilvl="0" w:tplc="78444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99246">
    <w:abstractNumId w:val="650992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169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