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KÁNTOR</w:t>
            </w:r>
          </w:p>
          <w:p w:rsidR="00C275A3" w:rsidRDefault="00A96AEC" w:rsidP="00C275A3">
            <w:pPr>
              <w:pStyle w:val="Hallgatokepzes"/>
            </w:pPr>
            <w:r>
              <w:t>facultity of law</w:t>
            </w:r>
            <w:r>
              <w:br/>
            </w:r>
            <w:r w:rsidR="00E77B23">
              <w:t>Unified,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Bernadette Somody</w:t>
            </w:r>
          </w:p>
          <w:p w:rsidR="00DB4822" w:rsidRDefault="00DB4822" w:rsidP="00E11062">
            <w:pPr>
              <w:pStyle w:val="Konzulensek"/>
            </w:pPr>
            <w:r w:rsidRPr="00DB4822">
              <w:t>assistant professor, ELTE ÁJK</w:t>
            </w:r>
          </w:p>
        </w:tc>
      </w:tr>
      <w:tr w:rsidR="00DB4822" w:rsidTr="00DB4822">
        <w:tc>
          <w:tcPr>
            <w:tcW w:w="9854" w:type="dxa"/>
          </w:tcPr>
          <w:p w:rsidR="00DB4822" w:rsidRPr="00DB4822" w:rsidRDefault="00DB4822" w:rsidP="004D7940">
            <w:pPr>
              <w:pStyle w:val="Konzulensek"/>
            </w:pPr>
            <w:r w:rsidRPr="00DB4822">
              <w:t>Beatrix Vissy</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Neutrality of the ideologically committed state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most prevailing critic concearning the Constitution was named as excursion from neutrality of ideology, however this requirement has not been declared in the Constitution, as not in the former constitution either. Critics do not deal with determing the term of neutrality required from the state, nor whether it is a valid requirement from the Constitution.</w:t>
      </w:r>
    </w:p>
    <w:p>
      <w:pPr>
        <w:widowControl w:val="on"/>
        <w:pBdr/>
        <w:spacing w:before="240" w:after="240" w:line="240" w:lineRule="auto"/>
        <w:ind w:left="0" w:right="0"/>
        <w:jc w:val="left"/>
      </w:pPr>
      <w:r>
        <w:rPr>
          <w:color w:val="000000"/>
          <w:sz w:val="24"/>
          <w:szCs w:val="24"/>
        </w:rPr>
        <w:t xml:space="preserve">The Hungarian Constitutional Court defined the neutrality of ideology of the state as the necessary condition, background of the emergence what more the existence of the constitutional rights and declared that without neutrality of ideology the terms of dignity of the human being, religious freedom, freedom of deliverance get meaningless. Related to this as the neutrality is the essencial condition of the constitutional rights, they contain in themselves the requirement of the necessity of neutrality. The Constitution contains these constitutional rights as well and so the requirement of the neutrality, which let you conclude that it is not only the right but the commitment of the Constitutional Court to control the neutrality of the state, although there are thesises based on factual ideological values declared in the National Faith. In my essay I am analising whether this contrast can be resolved and how is that 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25707">
    <w:multiLevelType w:val="hybridMultilevel"/>
    <w:lvl w:ilvl="0" w:tplc="17896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25707">
    <w:abstractNumId w:val="386257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948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