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KAZAI VIKTOR</w:t>
            </w:r>
          </w:p>
          <w:p w:rsidR="00C275A3" w:rsidRDefault="00A96AEC" w:rsidP="00C275A3">
            <w:pPr>
              <w:pStyle w:val="Hallgatokepzes"/>
            </w:pPr>
            <w:r>
              <w:t>Jogász</w:t>
            </w:r>
            <w:r>
              <w:br/>
            </w:r>
            <w:r w:rsidR="00E77B23">
              <w:t>Osztatlan, 6. félév</w:t>
            </w:r>
          </w:p>
          <w:p w:rsidR="00C265CE" w:rsidRPr="009E5FF1" w:rsidRDefault="00E77B23" w:rsidP="00C275A3">
            <w:pPr>
              <w:pStyle w:val="Hallgatokepzes"/>
              <w:rPr>
                <w:b/>
                <w:caps/>
              </w:rPr>
            </w:pPr>
            <w:r>
              <w:t>Eötvös Loránd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Somody Bernadette</w:t>
            </w:r>
          </w:p>
          <w:p w:rsidR="00DB4822" w:rsidRDefault="00DB4822" w:rsidP="00E11062">
            <w:pPr>
              <w:pStyle w:val="Konzulensek"/>
            </w:pPr>
            <w:r w:rsidRPr="00DB4822">
              <w:t>adjunktus,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Megszorított értelmezés, korlátozott alapjogok- Az Alaptörvény hatása az alkotmányértelmezés és az alapjogvédelmi szint kapcsolatára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Alaptörvény (At.) bizonyos rendelkezéseinek szándéka az Alkotmánybíróság (AB) jövőbeli gyakorlatának orientálása, az által, hogy hatást kívánnak gyakorolni az alkotmányértelmezés folyamatára. A vizsgált rendelkezések magukban rejtik az alapjogvédelmi szint csökkenésének kockázatát. Az AB mindenkori többségén múlik, hogy meggátolja vagy realizálja az alapjogok korlátozásának lehetőségét.</w:t>
      </w:r>
    </w:p>
    <w:p>
      <w:pPr>
        <w:pBdr/>
        <w:spacing w:before="240" w:after="240" w:line="240" w:lineRule="auto"/>
        <w:ind w:left="0" w:right="0"/>
        <w:jc w:val="left"/>
      </w:pPr>
      <w:r>
        <w:rPr>
          <w:color w:val="000000"/>
          <w:sz w:val="24"/>
          <w:szCs w:val="24"/>
        </w:rPr>
        <w:t xml:space="preserve">Az alapjogi katalógus egy keretet alkot, amit az AB egyes határozataiból összeálló gyakorlata tölt meg tartalommal, az alkotmányértelmezés és az alapjogok védelme között tehát szoros összefüggés van. Az AB nagy szabadságot élvez saját tartalmi koncepciójának érvényesítésében, de végső soron a normaszöveg korlátozza, mert döntéseit az alkotmány szövegére kell visszavezetnie. Ezért a normaszövegben bekövetkező változások potenciálisan kihatnak a jövőbeli gyakorlatra.</w:t>
      </w:r>
    </w:p>
    <w:p>
      <w:pPr>
        <w:pBdr/>
        <w:spacing w:before="240" w:after="240" w:line="240" w:lineRule="auto"/>
        <w:ind w:left="0" w:right="0"/>
        <w:jc w:val="left"/>
      </w:pPr>
      <w:r>
        <w:rPr>
          <w:color w:val="000000"/>
          <w:sz w:val="24"/>
          <w:szCs w:val="24"/>
        </w:rPr>
        <w:t xml:space="preserve">Az Alkotmánybíróságot az At. hatályba lépését követően is köti a korábbi gyakorlata, de ezentúl a megváltozott normaszöveget kell érvényre juttatnia, amelynek sajátossága, hogy számos rendelkezése az alkotmányértelmezésre kíván befolyást gyakorolni. Álláspontom szerint a releváns rendelkezések világos struktúrába rendezhetők. Az egyes alapjogok szintjén bekövetkező változások – a korábbi gyakorlat bizonyos elemeinek és egyes vitatott jogintézményeknek a normaszövegbe emelése, néhány alapjog leminősítése államcéllá – összességükben egyes alapjogok védelmét potenciálisan csökkentik vagy meggátolják a jogfejlesztő értelmezést. Az alapelvek közé emelt fiskális fenntarthatóság maga után vonhatja a költségvetési szempontok jelentőségének növekedését az alapjogi kérdések mérlegelésénél. Az At. értékrendje – ideológiai egyoldalúsága és kollektivista alapjog-szemlélete – pedig a morális szempontból kifejezetten érzékeny esetek eldöntésénél lehet befolyással a testület előzetes értékválasztására. Emellett az At. módszertani szabályokat is tartalmaz az értelmezésre nézve, ami szűkítheti a meghozható döntések skáláját és egyoldalúvá teheti az ítélkezést.</w:t>
      </w:r>
    </w:p>
    <w:p>
      <w:pPr>
        <w:pBdr/>
        <w:spacing w:before="240" w:after="240" w:line="240" w:lineRule="auto"/>
        <w:ind w:left="0" w:right="0"/>
        <w:jc w:val="left"/>
      </w:pPr>
      <w:r>
        <w:rPr>
          <w:color w:val="000000"/>
          <w:sz w:val="24"/>
          <w:szCs w:val="24"/>
        </w:rPr>
        <w:t xml:space="preserve">Kétségtelen, hogy némely rendelkezésnek adható konszolidált értelmezés, ám az AB mindenkori többségén múlik, hogy engedi-e realizálódni a jelzett kockázatokat vagy sem. A vizsgált rendelkezések mindenesetre erős igazolási alapját adják olyan döntéseknek, amelyek átültetik a gyakorlatba a hipotetikus alapjog-korlátozásokat és az alapjogvédelmi szint csökkenését eredményezik.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027430">
    <w:multiLevelType w:val="hybridMultilevel"/>
    <w:lvl w:ilvl="0" w:tplc="888069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027430">
    <w:abstractNumId w:val="100274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06694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