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KAZAI </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Bernadette Somody</w:t>
            </w:r>
          </w:p>
          <w:p w:rsidR="00DB4822" w:rsidRDefault="00DB4822" w:rsidP="00E11062">
            <w:pPr>
              <w:pStyle w:val="Konzulensek"/>
            </w:pPr>
            <w:r w:rsidRPr="00DB4822">
              <w:t>adjunct,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Limited interpretation, restricted rights – The affect of the Basic Law on the relation between the interpretation and the protection of fundamental rights.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Certain provisions of the Basic Law of Hungary show an intention to influence the practice of the Constitutional Court (CC) by regulating the interpretation of the constitutional text. There are hidden risks in these provisions which can result in the decrease of the level of protection of fundamental rights. It depends on the all-time majority of the CC whether these risks will be realized or prevented.</w:t>
      </w:r>
      <w:r>
        <w:rPr>
          <w:color w:val="000000"/>
          <w:sz w:val="24"/>
          <w:szCs w:val="24"/>
        </w:rPr>
        <w:br/>
        <w:t xml:space="preserve">The catalogue of fundamental rights is only a frame which is filled by the practice of the CC, so the interpretation and the protection of rights are in a very close relation. The CC enjoys a huge freedom in interpretation and is entitled to put into practical its own conception, but this liberty is limited by the text of the constitution.</w:t>
      </w:r>
      <w:r>
        <w:rPr>
          <w:color w:val="000000"/>
          <w:sz w:val="24"/>
          <w:szCs w:val="24"/>
        </w:rPr>
        <w:br/>
        <w:t xml:space="preserve">Since the Basic Law has come into effect – even if the CC is still under the influence of its former practice – it is bound to adjudicate in accordance with the new text. The examined provisions of the new constitution, aiming at exercising an influence on the interpretation, can be structured. The changes on the level of the concrete rights – putting certain elements of the former practice and some controversial institutions in the text, degrading several rights to purposes – can decrease the level of protection or prevent the CC from a progressive interpretation. The financial sustainability – among the principles – can increase the importance of the budgetary arguments in every conflict connecting to fundamental rights. The values of the Basic Law – the one-sided ideology and the collectivist approach – can orientate the CC in choosing between world views in very delicate moral questions. In addition the Basic Law also includes provisions on the method of interpretation which can narrow the scale of the possible decisions and make the jurisdiction of the CC one-sided.</w:t>
      </w:r>
      <w:r>
        <w:rPr>
          <w:color w:val="000000"/>
          <w:sz w:val="24"/>
          <w:szCs w:val="24"/>
        </w:rPr>
        <w:br/>
        <w:t xml:space="preserve">It is possible to give some of these provisions an acceptable interpretation, but it is the CC who will choose between realizing or preventing the abovementioned risks. Nevertheless the examined provisions give very strong arguments to make real the hypothetical restrictions of fundamental rights and to decrease the level of their protection.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28609">
    <w:multiLevelType w:val="hybridMultilevel"/>
    <w:lvl w:ilvl="0" w:tplc="22897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28609">
    <w:abstractNumId w:val="15328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750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