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BOLDIZSÁR ARTÚR SZENTGÁLI-TÓTH</w:t>
            </w:r>
          </w:p>
          <w:p w:rsidR="00C275A3" w:rsidRDefault="00A96AEC" w:rsidP="00C275A3">
            <w:pPr>
              <w:pStyle w:val="Hallgatokepzes"/>
            </w:pPr>
            <w:r>
              <w:t>jurist</w:t>
            </w:r>
            <w:r>
              <w:br/>
            </w:r>
            <w:r w:rsidR="00E77B23">
              <w:t>Unified, 6.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Márta Dezső</w:t>
            </w:r>
          </w:p>
          <w:p w:rsidR="00DB4822" w:rsidRDefault="00DB4822" w:rsidP="00E11062">
            <w:pPr>
              <w:pStyle w:val="Konzulensek"/>
            </w:pPr>
            <w:r w:rsidRPr="00DB4822">
              <w:t>Professor, ELTE ÁJK</w:t>
            </w:r>
          </w:p>
        </w:tc>
      </w:tr>
      <w:tr w:rsidR="00DB4822" w:rsidTr="00DB4822">
        <w:tc>
          <w:tcPr>
            <w:tcW w:w="9854" w:type="dxa"/>
          </w:tcPr>
          <w:p w:rsidR="00DB4822" w:rsidRPr="00DB4822" w:rsidRDefault="00DB4822" w:rsidP="004D7940">
            <w:pPr>
              <w:pStyle w:val="Konzulensek"/>
            </w:pPr>
            <w:r w:rsidRPr="00DB4822">
              <w:t>Dr Imre Papp</w:t>
            </w:r>
          </w:p>
          <w:p w:rsidR="00DB4822" w:rsidRDefault="00DB4822" w:rsidP="00E11062">
            <w:pPr>
              <w:pStyle w:val="Konzulensek"/>
            </w:pPr>
            <w:r w:rsidRPr="00DB4822">
              <w:t>Assistant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Perspectives of Laws Approved by Qualified Majority in the Hungarian Legal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Abstract</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Author: Boldizsár Artúr Szentgáli-Tóth</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Title: The Perspectives of Laws Approved by Qualified Majority in the Hungarian Legal System</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Supervisors: Professor Márta Dezső, Head of Department, Dr Imre Papp, Assistant Professor</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Ever since the transition, the laws requiring a two-thirds majority for approval have been a controversial element of the Hungarian legal system; the complexity of the problem is well demonstrated by the extensive academic dialogue on the issue and the attention paid to it by the Constitutional Court. However, a unified and comprehensive treatise on the topic of qualified majority has not yet been developed, thus such an account could not be invoked during the codification of the Fundamental Law.</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writing this study, my objective is to contribute to the revival of the professional discourse about organic laws. By demonstrating the negative consequences of the qualified majority vote, I aim to explore the possibilities in the legal system which may be its good substitutes, in which the drawbacks of organic laws are addressed but their advantages are maintained. In this process, I seek to find answers to many related questions; among others, I examine the ideal limits of the fields falling under the qualified majority vote, the problems raised by the protocols joined to organic laws, and the safeguards proposed in place of the qualified majority vote.</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long-term conception set out in the Fundamental Law will determine the nature and the role of organic laws in the legal system, but a systematic overview of the relevant experiences of the last two decades seems nevertheless necessary. No substantial decline is noticeable in the extent of the application of organic laws, which is exceptional even in international comparison, and the classification of certain fields under the regulation of organic laws may raise concerns. Therefore, the restriction of organic laws to a few public law issues may be desirable.</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order to review the problems raised by the qualified majority vote, besides the analysis of the current situation I closely examined its direct and indirect antecedents, as well as the principles on which it is based, as only with this knowledge is it possible to draw well-founded conclusions about the future of this legal institution. The essence of my approach is that we need to look for new solutions by emphasising the interdisciplinary nature of the problem and by taking into account its many aspects.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750065">
    <w:multiLevelType w:val="hybridMultilevel"/>
    <w:lvl w:ilvl="0" w:tplc="190884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750065">
    <w:abstractNumId w:val="997500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29210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