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NIKULA ISTVÁN</w:t>
            </w:r>
          </w:p>
          <w:p w:rsidR="00C275A3" w:rsidRDefault="00A96AEC" w:rsidP="00C275A3">
            <w:pPr>
              <w:pStyle w:val="Hallgatokepzes"/>
            </w:pPr>
            <w:r>
              <w:t>Jogász</w:t>
            </w:r>
            <w:r>
              <w:br/>
            </w:r>
            <w:r w:rsidR="00E77B23">
              <w:t>Osztatlan, 6.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Papp Imre</w:t>
            </w:r>
          </w:p>
          <w:p w:rsidR="00DB4822" w:rsidRDefault="00DB4822" w:rsidP="00E11062">
            <w:pPr>
              <w:pStyle w:val="Konzulensek"/>
            </w:pPr>
            <w:r w:rsidRPr="00DB4822">
              <w:t>adjunktus,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Parlamenti jogalkotás okozta károk és megelőzésük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Egy jogállamban, így hazánkban is általánosan elfogadott tétel, hogy aki másnak jogellenesen kárt okoz, köteles azt megtéríteni. Azonos módon vonatkozik ez mindenkire, vagy beszélhetünk kivételekről? Olyan speciális jogállású szerv, mint az Országgyűlés, felelősségre vonható az általa hozott jogszabályok okozta kárért? Bár a kérdés egyszerű, mégsem könnyű választ találni rá. Ha igen, mi alapján és pontosan milyen károkért felel? Ha nem, miért indokolt a kivételezés? A magyar bíróságok gyakran találkoztak ezzel a problémakörrel, magának a Legfelsőbb Bíróságnak is állást kellett foglalnia. Ennek ellenére az elmúlt húsz évben nem sikerült megnyugtató választ találni.</w:t>
      </w:r>
    </w:p>
    <w:p>
      <w:pPr>
        <w:pBdr/>
        <w:spacing w:before="240" w:after="240" w:line="240" w:lineRule="auto"/>
        <w:ind w:left="0" w:right="0"/>
        <w:jc w:val="left"/>
      </w:pPr>
      <w:r>
        <w:rPr>
          <w:color w:val="000000"/>
          <w:sz w:val="24"/>
          <w:szCs w:val="24"/>
        </w:rPr>
        <w:t xml:space="preserve">A fenti kérdésektől függetlenül, miszerint akár felel, akár nem, a magyar alkotmányos rendszernek is törekednie kell arra, hogy az Országgyűlés jogalkotásával a magyar nemzet érdekeit és a közjót szolgálja, ebből következik a garanciális minimum, hogy tevékenységével a károkozást kerülje. A parlament mellett számos alkotmányos intézményünk van, amelyek – számos feladatuk mellett – a károkozás megelőzését szolgálva, részt vesznek a törvényalkotás folyamatában. Az elmúlt évek jogszabályváltozásai után érdemes megvizsgálnunk: a jövőben mely alkotmányos szereplők és miképpen tudják ellátni ezt a feladatukat, ehhez rendelkezésre állnak-e a szükséges feltételek?</w:t>
      </w:r>
    </w:p>
    <w:p>
      <w:pPr>
        <w:pBdr/>
        <w:spacing w:before="240" w:after="240" w:line="240" w:lineRule="auto"/>
        <w:ind w:left="0" w:right="0"/>
        <w:jc w:val="left"/>
      </w:pPr>
      <w:r>
        <w:rPr>
          <w:color w:val="000000"/>
          <w:sz w:val="24"/>
          <w:szCs w:val="24"/>
        </w:rPr>
        <w:t xml:space="preserve">„Ne kerülj összetűzésbe semmivel, ami az Alkotmányban szerepel. Azt be kell tartani, mivel szabadságunk egyetlen biztosítéka”. Abraham Lincoln idézett szavai nem csak az Egyesült Államok, hanem hazánk törvényalkotója számára is máig érvényes üzenetet hordoz. Ahogy látni fogjuk, az Országgyűlés által meghozott jogszabály Alkotmányba, illetve Alaptörvénybe ütközése, azzal való „összetűzése” központi szerepet tölt be mind a parlamenti jogalkotással okozott károk megítélése, mind a károk bekövetkeztének megelőzése esetén. Jogrendszerünk alapjának, mint jogaink, szabadságunk legfőbb biztosítékának a sérelme következményeket von, következményeket kell, hogy vonjon maga után. Éppen ezért az ilyen nem kívánatos helyzetek elkerülésére, megelőzésére is különös figyelemmel kell lennünk, amikor az alkotmányos rendszer szereplőit, jogintézményeit elemezzük.</w:t>
      </w:r>
    </w:p>
    <w:p>
      <w:pPr>
        <w:pBdr/>
        <w:spacing w:before="240" w:after="240" w:line="240" w:lineRule="auto"/>
        <w:ind w:left="0" w:right="0"/>
        <w:jc w:val="left"/>
      </w:pPr>
      <w:r>
        <w:rPr>
          <w:color w:val="000000"/>
          <w:sz w:val="24"/>
          <w:szCs w:val="24"/>
        </w:rPr>
        <w:t xml:space="preserve">A dolgozatban a fent megfogalmazott kérdésekre keresem a választ, először a „problémára”, a jogalkotással okozott károk megítélésére, mai szabályozására. Ezt követően a „problémára adandó alkotmányjogi választ”, az érintett alkotmányos intézmények szerepét, tevékenységét fogom vizsgálat tárgyává tenni.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66046">
    <w:multiLevelType w:val="hybridMultilevel"/>
    <w:lvl w:ilvl="0" w:tplc="99019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66046">
    <w:abstractNumId w:val="79666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396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