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ILDIKÓ DUNÁR</w:t>
            </w:r>
          </w:p>
          <w:p w:rsidR="00C275A3" w:rsidRDefault="00A96AEC" w:rsidP="00C275A3">
            <w:pPr>
              <w:pStyle w:val="Hallgatokepzes"/>
            </w:pPr>
            <w:r>
              <w:t>Jurist</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Kajtár</w:t>
            </w:r>
          </w:p>
          <w:p w:rsidR="00DB4822" w:rsidRDefault="00DB4822" w:rsidP="00E11062">
            <w:pPr>
              <w:pStyle w:val="Konzulensek"/>
            </w:pPr>
            <w:r w:rsidRPr="00DB4822">
              <w:t>professor’s assistant,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Freedom of Religion and Religious Symbols in the 21th century according to the case law of the ECHR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Abstract</w:t>
      </w:r>
    </w:p>
    <w:p>
      <w:pPr>
        <w:pBdr/>
        <w:spacing w:before="240" w:after="240" w:line="240" w:lineRule="auto"/>
        <w:ind w:left="0" w:right="0"/>
        <w:jc w:val="left"/>
      </w:pPr>
      <w:r>
        <w:rPr>
          <w:color w:val="000000"/>
          <w:sz w:val="24"/>
          <w:szCs w:val="24"/>
        </w:rPr>
        <w:t xml:space="preserve">This study examines the case law of the European Court of Human Rights (hereinafter referred to as ECHR) related to freedom of religion, more specifically religious symbols.</w:t>
      </w:r>
    </w:p>
    <w:p>
      <w:pPr>
        <w:pBdr/>
        <w:spacing w:before="240" w:after="240" w:line="240" w:lineRule="auto"/>
        <w:ind w:left="0" w:right="0"/>
        <w:jc w:val="left"/>
      </w:pPr>
      <w:r>
        <w:rPr>
          <w:color w:val="000000"/>
          <w:sz w:val="24"/>
          <w:szCs w:val="24"/>
        </w:rPr>
        <w:t xml:space="preserve">The analysis of Article 9 ofthe Convention for the protection of Human rights and Fundamental Freedoms and the following sections containing definitions provides for the proper understanding of recurring terms used during the study. The section on neutral state versus positive practice of religion highlights the provisions related to religious freedom, and the contradictions of judgements delivered by national courts related to Article 9. The chapter on militant democracy examines the margin between justifiable and exaggerated actions taken by democracies to protect themselves. The next chapter on the paradox of religious freedom addresses a paradigm shift. According to this democracies incline to narrow religious freedom more and more in order to protect religion-rooted fundamental democratic rights. In the last section the author elaborates on the Lautsi case and points out the core issues and problems of the field.</w:t>
      </w:r>
    </w:p>
    <w:p>
      <w:pPr>
        <w:pBdr/>
        <w:spacing w:before="240" w:after="240" w:line="240" w:lineRule="auto"/>
        <w:ind w:left="0" w:right="0"/>
        <w:jc w:val="left"/>
      </w:pPr>
      <w:r>
        <w:rPr>
          <w:color w:val="000000"/>
          <w:sz w:val="24"/>
          <w:szCs w:val="24"/>
        </w:rPr>
        <w:t xml:space="preserve">The issue of religious symbols has given rise to fierce debate on the scope of freedom of religion in whole Europe. Legal and public policy acceptance of religious symbols depends on a variety of factors. By critically analyzing the relevant case law of the ECHR on the freedom of religion, this study aims to identify and clarify the potential reasons having the biggest impact on these considerations.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44855">
    <w:multiLevelType w:val="hybridMultilevel"/>
    <w:lvl w:ilvl="0" w:tplc="46987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44855">
    <w:abstractNumId w:val="611448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9398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