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ANGÉLA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Lattmann Tamás</w:t>
            </w:r>
          </w:p>
          <w:p w:rsidR="00DB4822" w:rsidRDefault="00DB4822" w:rsidP="00E11062">
            <w:pPr>
              <w:pStyle w:val="Konzulensek"/>
            </w:pPr>
            <w:r w:rsidRPr="00DB4822">
              <w:t>tanársegéd,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univerzális joghatóság problémája a nemzetközi jogban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univerzalitás (egyetemesség) – és így az univerzális joghatóság – elve az állam büntető joghatóságát megalapozó olyan elmélet, melynek alapján egy állam meghatározott bűncselekmények esetén konkrét kapcsolat hiányában lép fel. Dolgozatomban ebből az egyénileg megalkotott és sablonos meghatározásból indulok ki, majd a pontosabb definíció megtalálása érdekében vizsgálom már az elméleti meghatározás kapcsán is felmerülő problémákat. Így például, mely bűncselekmények tartoznak (vagy tartozzanak) ide, egy állam kötelessége-e ez alapján eljárni vagy pusztán jogosult arra, illetve az elkövető jelenléte egy adott államban mennyiben befolyásoló tényező.</w:t>
      </w:r>
    </w:p>
    <w:p>
      <w:pPr>
        <w:pBdr/>
        <w:spacing w:before="240" w:after="240" w:line="240" w:lineRule="auto"/>
        <w:ind w:left="0" w:right="0"/>
        <w:jc w:val="left"/>
      </w:pPr>
      <w:r>
        <w:rPr>
          <w:color w:val="000000"/>
          <w:sz w:val="24"/>
          <w:szCs w:val="24"/>
        </w:rPr>
        <w:t xml:space="preserve">Ezt követően foglalkozom az univerzális joghatóság megjelenésével egyes jogrendszerekben, lévén, hogy a jogintézményt az egyes államok eltérően értelmezik. Kiemelendő e körből a belga szabályozás, ahol igen széleskörűen biztosították az univerzalitás elvének alkalmazását, de a többi állam rosszallása (és politikai nyomása) folytán 2003-ban Belgium is szigorítani kényszerült a szabályokon.</w:t>
      </w:r>
    </w:p>
    <w:p>
      <w:pPr>
        <w:pBdr/>
        <w:spacing w:before="240" w:after="240" w:line="240" w:lineRule="auto"/>
        <w:ind w:left="0" w:right="0"/>
        <w:jc w:val="left"/>
      </w:pPr>
      <w:r>
        <w:rPr>
          <w:color w:val="000000"/>
          <w:sz w:val="24"/>
          <w:szCs w:val="24"/>
        </w:rPr>
        <w:t xml:space="preserve">Miért is válthatott ki rosszallást a tág határokat hagyó szabályozás? Ezzel a kérdéssel foglalkozik a dolgozat következő része, nevezetesen a szuverenitás kérdéskörének az univerzalitás elvéhez való viszonyával. Majd a Nemzetközi Büntetőbíróság és az univerzális joghatóság kapcsolatát vizsgálom, amely körben megpróbálok a jelenlegi megoldástól eltérő koncepciókat felvázolni, illetve azt vizsgálni, hogy a korábban már felmerült javaslatok miért ítéltettek kudarcra. A dolgozat végén megpróbálom mérlegre tenni a jogintézményt, hiszen ha már a meghatározás sem egységes, a gyakorlat pedig annál inkább ellentmondással teli, miért is van szükségünk az univerzalitás elvére?</w:t>
      </w:r>
    </w:p>
    <w:p>
      <w:pPr>
        <w:pBdr/>
        <w:spacing w:before="240" w:after="240" w:line="240" w:lineRule="auto"/>
        <w:ind w:left="0" w:right="0"/>
        <w:jc w:val="left"/>
      </w:pPr>
      <w:r>
        <w:rPr>
          <w:color w:val="000000"/>
          <w:sz w:val="24"/>
          <w:szCs w:val="24"/>
        </w:rPr>
        <w:t xml:space="preserve">Hiszen feltételekhez kötött, szubszidiárius jelleggel alkalmazható, de az egyetemességet sugallja; a nemzetközi közösség egészének célkitűzéseit fejezi ki, mégis egyes államok bíróságainak eljárását alapozza meg; a céljával minden állam egyetért, azonban a maga teljességében mindegyik vonakodik azt alkalmazni – mindezek csak példái azoknak az ellentmondásoknak és problémáknak, amelyek az univerzalitás elvét vizsgálandó témává teszik, melyet mi sem bizonyít jobban, mint az a tény, hogy az ENSZ Közgyűlésének 67. ülésszaka során a jogi bizottság is napirendjére tűzi az univerzális joghatóság jogintézményének vizsgálatát.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02559">
    <w:multiLevelType w:val="hybridMultilevel"/>
    <w:lvl w:ilvl="0" w:tplc="32045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02559">
    <w:abstractNumId w:val="97702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896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